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工程量清单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03"/>
        <w:gridCol w:w="4442"/>
        <w:gridCol w:w="849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主要内容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数量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污泥池及污泥浓缩池清理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含池体清理所需人工、临时通风、安全围栏、污泥脱水车、专用污泥脱水设备药剂、危险品包装袋、吨袋、项目前期报备、污泥处置备案、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照明措施、气体检测仪器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含税等所有费用，3-4次/年。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4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污泥处置费</w:t>
            </w:r>
          </w:p>
        </w:tc>
        <w:tc>
          <w:tcPr>
            <w:tcW w:w="2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360" w:lineRule="auto"/>
              <w:ind w:left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按规定转运、处置（不足1吨，按1吨结算；1吨≤清淤量≤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吨，按实结算；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10.0-10.5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费用不另外增加；超过10.5吨，按实结算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1、含完成污泥池及污泥浓缩池清理所需的人工费、临时通风、安全围栏、污泥脱水车、专用污泥脱水设备药剂、危险品包装袋、吨袋、项目前期报备、照明措施、气体检测仪器、污泥处置备案、污泥规范运输及处置、含税等所有费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Lines="0" w:afterAutospacing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2、污泥处置费结算按污泥的实际处置重量结算。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3、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脱水污泥须按照生态环境主管部门要求，网上申报，主管部门审批后委托专业危废处置单位进行处置。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施工次数及工期：共计3-4次/年，每次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3-5</w:t>
      </w:r>
      <w:r>
        <w:rPr>
          <w:rFonts w:hint="eastAsia" w:ascii="宋体" w:hAnsi="宋体" w:eastAsia="宋体" w:cs="宋体"/>
          <w:sz w:val="24"/>
          <w:lang w:val="en-US" w:eastAsia="zh-CN"/>
        </w:rPr>
        <w:t>天，另需配合业主单位相关清淤应急处理。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GU3NjE5MDYyOWNmNmMwZjRhMDBiMTdiNjBmZDUifQ=="/>
  </w:docVars>
  <w:rsids>
    <w:rsidRoot w:val="71F47C6D"/>
    <w:rsid w:val="71F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widowControl/>
      <w:snapToGrid w:val="0"/>
      <w:spacing w:before="50" w:after="156" w:afterLines="50" w:line="400" w:lineRule="exact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2023-11-09T07:31:00Z</dcterms:created>
  <dc:creator>WPS_1601834775</dc:creator>
  <cp:lastModifiedBy>WPS_1601834775</cp:lastModifiedBy>
  <dcterms:modified xsi:type="dcterms:W3CDTF">2023-11-09T07:31:48Z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A29335C4C34C407FA389E04710B29CD3_11</vt:lpwstr>
  </property>
</Properties>
</file>