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0CA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 w:hAnsi="宋体"/>
          <w:b/>
          <w:sz w:val="30"/>
          <w:szCs w:val="30"/>
        </w:rPr>
        <w:t>第四章  采购内容及需求</w:t>
      </w:r>
    </w:p>
    <w:p w14:paraId="45C2E6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Ansi="宋体"/>
          <w:b/>
          <w:bCs/>
          <w:sz w:val="24"/>
          <w:szCs w:val="24"/>
        </w:rPr>
      </w:pPr>
      <w:bookmarkStart w:id="0" w:name="_Toc258595212"/>
      <w:bookmarkStart w:id="1" w:name="_Toc373222961"/>
      <w:bookmarkStart w:id="2" w:name="_Toc373223050"/>
      <w:bookmarkStart w:id="3" w:name="_Toc258594148"/>
      <w:bookmarkStart w:id="4" w:name="_Toc257799727"/>
      <w:bookmarkStart w:id="5" w:name="_Toc255974604"/>
      <w:bookmarkStart w:id="6" w:name="_Toc374515869"/>
      <w:r>
        <w:rPr>
          <w:rFonts w:hAnsi="宋体"/>
          <w:b/>
          <w:bCs/>
          <w:sz w:val="24"/>
          <w:szCs w:val="24"/>
        </w:rPr>
        <w:t>一、</w:t>
      </w:r>
      <w:r>
        <w:rPr>
          <w:rFonts w:hint="eastAsia" w:hAnsi="宋体"/>
          <w:b/>
          <w:bCs/>
          <w:sz w:val="24"/>
          <w:szCs w:val="24"/>
        </w:rPr>
        <w:t>项目概况</w:t>
      </w:r>
    </w:p>
    <w:p w14:paraId="150DB07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bookmarkStart w:id="7" w:name="_Toc422946256"/>
      <w:r>
        <w:rPr>
          <w:rFonts w:hint="eastAsia" w:hAnsi="宋体"/>
          <w:bCs/>
          <w:sz w:val="24"/>
          <w:szCs w:val="24"/>
          <w:lang w:val="en-US" w:eastAsia="zh-CN"/>
        </w:rPr>
        <w:t>浙江中医药大学附属第二医院将举办首届中医潮生活文化节，特面向社会公开采购活动所需物料的设计制作及搭建项目。。</w:t>
      </w:r>
    </w:p>
    <w:p w14:paraId="55CAC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项目名称：</w:t>
      </w:r>
      <w:r>
        <w:rPr>
          <w:rFonts w:hint="eastAsia" w:hAnsi="宋体"/>
          <w:bCs/>
          <w:sz w:val="24"/>
          <w:szCs w:val="24"/>
          <w:lang w:val="en-US" w:eastAsia="zh-CN"/>
        </w:rPr>
        <w:t>中医潮生活文化节活动物料设计制作及搭建项目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eastAsia="zh-CN"/>
        </w:rPr>
        <w:t>。</w:t>
      </w:r>
    </w:p>
    <w:p w14:paraId="6DAF4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highlight w:val="none"/>
          <w:lang w:val="en-US" w:eastAsia="zh-CN"/>
        </w:rPr>
        <w:t>服务期限和预算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：</w:t>
      </w:r>
    </w:p>
    <w:tbl>
      <w:tblPr>
        <w:tblStyle w:val="9"/>
        <w:tblW w:w="447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277"/>
        <w:gridCol w:w="1387"/>
        <w:gridCol w:w="1199"/>
        <w:gridCol w:w="999"/>
      </w:tblGrid>
      <w:tr w14:paraId="1503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8EA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序号</w:t>
            </w:r>
          </w:p>
        </w:tc>
        <w:tc>
          <w:tcPr>
            <w:tcW w:w="21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0CF54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标项内容</w:t>
            </w:r>
          </w:p>
        </w:tc>
        <w:tc>
          <w:tcPr>
            <w:tcW w:w="9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E2A53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服务期</w:t>
            </w:r>
          </w:p>
        </w:tc>
        <w:tc>
          <w:tcPr>
            <w:tcW w:w="7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6BA1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预算</w:t>
            </w:r>
          </w:p>
        </w:tc>
        <w:tc>
          <w:tcPr>
            <w:tcW w:w="6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9B24D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eastAsia="宋体" w:cs="宋体"/>
                <w:b/>
                <w:highlight w:val="none"/>
              </w:rPr>
            </w:pPr>
            <w:r>
              <w:rPr>
                <w:rFonts w:hint="eastAsia" w:eastAsia="宋体" w:cs="宋体"/>
                <w:b/>
                <w:highlight w:val="none"/>
              </w:rPr>
              <w:t>入围</w:t>
            </w:r>
          </w:p>
        </w:tc>
      </w:tr>
      <w:tr w14:paraId="5C92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 w14:paraId="7EC362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1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EE0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中医潮生活文化节活动物料设计制作及搭建项目</w:t>
            </w:r>
          </w:p>
        </w:tc>
        <w:tc>
          <w:tcPr>
            <w:tcW w:w="9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52B3A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个月</w:t>
            </w:r>
          </w:p>
        </w:tc>
        <w:tc>
          <w:tcPr>
            <w:tcW w:w="7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06A0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w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7EE2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1家</w:t>
            </w:r>
          </w:p>
        </w:tc>
      </w:tr>
    </w:tbl>
    <w:p w14:paraId="586177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6" w:firstLineChars="200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二、采购内容</w:t>
      </w:r>
    </w:p>
    <w:p w14:paraId="451653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（一）活动主视觉设计与制作</w:t>
      </w:r>
    </w:p>
    <w:p w14:paraId="31F05B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 w:cs="Times New Roman"/>
          <w:bCs/>
          <w:sz w:val="24"/>
          <w:szCs w:val="24"/>
          <w:highlight w:val="none"/>
          <w:lang w:val="en-US" w:eastAsia="zh-CN"/>
        </w:rPr>
        <w:t>1、设计一套符合“中医潮生活”主题的活动主视觉系统，包括LOGO、主视觉海报、色彩搭配方案、字体选择等，设计风格需融合传统中医元素与现代审美，体现中医文化的深厚底蕴与时尚感。</w:t>
      </w:r>
    </w:p>
    <w:p w14:paraId="4442B1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highlight w:val="none"/>
          <w:lang w:val="en-US" w:eastAsia="zh-CN"/>
        </w:rPr>
        <w:t>（二）活动场景搭建与布置</w:t>
      </w:r>
    </w:p>
    <w:p w14:paraId="7733708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highlight w:val="none"/>
          <w:lang w:val="en-US" w:eastAsia="zh-CN"/>
        </w:rPr>
        <w:t>1、根据活动规划，设计并搭建活动现场的整体布局，包括义诊区、展览区、互动体验区等区域的划分与布置。</w:t>
      </w:r>
    </w:p>
    <w:p w14:paraId="5738CA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2、制作并安装必要的装饰物、指示牌、导览系统等，确保活动现场氛围统一、有序。</w:t>
      </w:r>
    </w:p>
    <w:p w14:paraId="2F676F3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（三）活动宣传物料设计</w:t>
      </w:r>
    </w:p>
    <w:p w14:paraId="195750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1、设计并制</w:t>
      </w:r>
      <w:r>
        <w:rPr>
          <w:rFonts w:hint="eastAsia" w:hAnsi="宋体"/>
          <w:b w:val="0"/>
          <w:bCs/>
          <w:sz w:val="24"/>
          <w:szCs w:val="24"/>
          <w:lang w:val="en-US" w:eastAsia="zh-CN"/>
        </w:rPr>
        <w:t>作活动现场所需的各类宣传物料，包括但不限于易拉宝、X展架、背景板、签到台布置等。</w:t>
      </w:r>
    </w:p>
    <w:p w14:paraId="2B460B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 w:val="0"/>
          <w:bCs/>
          <w:sz w:val="24"/>
          <w:szCs w:val="24"/>
          <w:lang w:val="en-US" w:eastAsia="zh-CN"/>
        </w:rPr>
        <w:t>2、宣传物料设计需与活动主视觉系统保持一致，确保整体视觉效果的协调统</w:t>
      </w:r>
    </w:p>
    <w:p w14:paraId="7ACED6C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三、服务要求</w:t>
      </w:r>
    </w:p>
    <w:p w14:paraId="6C7AAE0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1、专业团队：投标方需具备专业的设计、搭建、维护及技术支持团队，具备丰富的类似项目经验。</w:t>
      </w:r>
    </w:p>
    <w:p w14:paraId="76E984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2、创意独特：设计方案需体现创新性，能够准确传达中医文化节的核心理念与特色。物料设计需考虑实际使用场景，确保实用性与美观性兼具。</w:t>
      </w:r>
    </w:p>
    <w:p w14:paraId="63FBEF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3、安全保障：所有设备、材料需符合国家安全标准，搭建过程中严格遵守安全操作规程，确保活动安全无虞。</w:t>
      </w:r>
    </w:p>
    <w:p w14:paraId="108133D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4、灵活应变：具备快速响应能力，根据现场实际情况及时调整方案，确保活动顺利进行。</w:t>
      </w:r>
    </w:p>
    <w:p w14:paraId="4A5BAC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5、售后服务：提供活动期间的全程技术支持与保障，确保物料正常运行。活动结束后，负责拆除工作。</w:t>
      </w:r>
    </w:p>
    <w:bookmarkEnd w:id="7"/>
    <w:p w14:paraId="3208EDD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6" w:firstLineChars="200"/>
        <w:textAlignment w:val="auto"/>
        <w:rPr>
          <w:rFonts w:hint="eastAsia" w:hAnsi="宋体"/>
          <w:b/>
          <w:bCs w:val="0"/>
          <w:sz w:val="24"/>
          <w:szCs w:val="24"/>
          <w:lang w:val="en-US" w:eastAsia="zh-CN"/>
        </w:rPr>
      </w:pPr>
      <w:r>
        <w:rPr>
          <w:rFonts w:hint="eastAsia" w:hAnsi="宋体"/>
          <w:b/>
          <w:bCs w:val="0"/>
          <w:sz w:val="24"/>
          <w:szCs w:val="24"/>
          <w:lang w:val="en-US" w:eastAsia="zh-CN"/>
        </w:rPr>
        <w:t>四、商务要求</w:t>
      </w:r>
    </w:p>
    <w:p w14:paraId="7656D93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int="eastAsia" w:hAnsi="宋体"/>
          <w:bCs/>
          <w:sz w:val="24"/>
          <w:szCs w:val="24"/>
          <w:highlight w:val="none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1、服务期：合同签订生效后1个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月。</w:t>
      </w:r>
    </w:p>
    <w:p w14:paraId="79934E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highlight w:val="none"/>
        </w:rPr>
        <w:t>2、付款方式：合同付款方式为按进度付款</w:t>
      </w:r>
      <w:r>
        <w:rPr>
          <w:rFonts w:hint="eastAsia" w:hAnsi="宋体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hAnsi="宋体"/>
          <w:bCs/>
          <w:sz w:val="24"/>
          <w:szCs w:val="24"/>
          <w:highlight w:val="none"/>
        </w:rPr>
        <w:t>合同签订生效后，供应商完成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所有物料设计并经采购人确认</w:t>
      </w:r>
      <w:r>
        <w:rPr>
          <w:rFonts w:hint="eastAsia" w:hAnsi="宋体"/>
          <w:bCs/>
          <w:sz w:val="24"/>
          <w:szCs w:val="24"/>
          <w:highlight w:val="none"/>
        </w:rPr>
        <w:t>后，采购人向供应商支付合</w:t>
      </w:r>
      <w:r>
        <w:rPr>
          <w:rFonts w:hint="eastAsia" w:hAnsi="宋体"/>
          <w:bCs/>
          <w:sz w:val="24"/>
          <w:szCs w:val="24"/>
        </w:rPr>
        <w:t>同总价的50%。项目验收</w:t>
      </w:r>
      <w:r>
        <w:rPr>
          <w:rFonts w:hint="eastAsia" w:hAnsi="宋体"/>
          <w:bCs/>
          <w:sz w:val="24"/>
          <w:szCs w:val="24"/>
          <w:lang w:eastAsia="zh-CN"/>
        </w:rPr>
        <w:t>合格并</w:t>
      </w:r>
      <w:r>
        <w:rPr>
          <w:rFonts w:hint="eastAsia" w:hAnsi="宋体"/>
          <w:bCs/>
          <w:sz w:val="24"/>
          <w:szCs w:val="24"/>
        </w:rPr>
        <w:t>交付后，采购人向供应商支付</w:t>
      </w:r>
      <w:r>
        <w:rPr>
          <w:rFonts w:hint="eastAsia" w:hAnsi="宋体"/>
          <w:bCs/>
          <w:sz w:val="24"/>
          <w:szCs w:val="24"/>
          <w:lang w:eastAsia="zh-CN"/>
        </w:rPr>
        <w:t>至</w:t>
      </w:r>
      <w:r>
        <w:rPr>
          <w:rFonts w:hint="eastAsia" w:hAnsi="宋体"/>
          <w:bCs/>
          <w:sz w:val="24"/>
          <w:szCs w:val="24"/>
        </w:rPr>
        <w:t>合同总价的</w:t>
      </w:r>
      <w:r>
        <w:rPr>
          <w:rFonts w:hint="eastAsia" w:hAnsi="宋体"/>
          <w:bCs/>
          <w:sz w:val="24"/>
          <w:szCs w:val="24"/>
          <w:lang w:val="en-US" w:eastAsia="zh-CN"/>
        </w:rPr>
        <w:t>100</w:t>
      </w:r>
      <w:r>
        <w:rPr>
          <w:rFonts w:hint="eastAsia" w:hAnsi="宋体"/>
          <w:bCs/>
          <w:sz w:val="24"/>
          <w:szCs w:val="24"/>
        </w:rPr>
        <w:t>%。</w:t>
      </w:r>
      <w:r>
        <w:rPr>
          <w:rFonts w:hint="eastAsia" w:hAnsi="宋体"/>
          <w:bCs/>
          <w:sz w:val="24"/>
          <w:szCs w:val="24"/>
          <w:lang w:eastAsia="zh-CN"/>
        </w:rPr>
        <w:t>每次结算前</w:t>
      </w:r>
      <w:r>
        <w:rPr>
          <w:rFonts w:hint="eastAsia" w:hAnsi="宋体"/>
          <w:bCs/>
          <w:sz w:val="24"/>
          <w:szCs w:val="24"/>
        </w:rPr>
        <w:t>供应商开具符合要求的发票，采购人自</w:t>
      </w:r>
      <w:r>
        <w:rPr>
          <w:rFonts w:hint="eastAsia" w:hAnsi="宋体"/>
          <w:bCs/>
          <w:sz w:val="24"/>
          <w:szCs w:val="24"/>
          <w:lang w:eastAsia="zh-CN"/>
        </w:rPr>
        <w:t>收</w:t>
      </w:r>
      <w:r>
        <w:rPr>
          <w:rFonts w:hint="eastAsia" w:hAnsi="宋体"/>
          <w:bCs/>
          <w:sz w:val="24"/>
          <w:szCs w:val="24"/>
        </w:rPr>
        <w:t>到发票</w:t>
      </w:r>
      <w:r>
        <w:rPr>
          <w:rFonts w:hint="eastAsia" w:hAnsi="宋体"/>
          <w:bCs/>
          <w:sz w:val="24"/>
          <w:szCs w:val="24"/>
          <w:lang w:eastAsia="zh-CN"/>
        </w:rPr>
        <w:t>之日起</w:t>
      </w:r>
      <w:r>
        <w:rPr>
          <w:rFonts w:hint="eastAsia" w:hAnsi="宋体"/>
          <w:bCs/>
          <w:sz w:val="24"/>
          <w:szCs w:val="24"/>
          <w:highlight w:val="none"/>
          <w:lang w:val="en-US" w:eastAsia="zh-CN"/>
        </w:rPr>
        <w:t>15个工作</w:t>
      </w:r>
      <w:r>
        <w:rPr>
          <w:rFonts w:hint="eastAsia" w:hAnsi="宋体"/>
          <w:bCs/>
          <w:sz w:val="24"/>
          <w:szCs w:val="24"/>
          <w:highlight w:val="none"/>
        </w:rPr>
        <w:t>日</w:t>
      </w:r>
      <w:r>
        <w:rPr>
          <w:rFonts w:hint="eastAsia" w:hAnsi="宋体"/>
          <w:bCs/>
          <w:sz w:val="24"/>
          <w:szCs w:val="24"/>
          <w:highlight w:val="none"/>
          <w:lang w:eastAsia="zh-CN"/>
        </w:rPr>
        <w:t>内付款</w:t>
      </w:r>
      <w:r>
        <w:rPr>
          <w:rFonts w:hint="eastAsia" w:hAnsi="宋体"/>
          <w:bCs/>
          <w:sz w:val="24"/>
          <w:szCs w:val="24"/>
        </w:rPr>
        <w:t>。</w:t>
      </w:r>
    </w:p>
    <w:p w14:paraId="370BA6A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64" w:firstLineChars="200"/>
        <w:textAlignment w:val="auto"/>
      </w:pPr>
      <w:r>
        <w:rPr>
          <w:rFonts w:hint="eastAsia" w:hAnsi="宋体"/>
          <w:bCs/>
          <w:sz w:val="24"/>
          <w:szCs w:val="24"/>
        </w:rPr>
        <w:t>3、报价方式：本次报价方式为总价包干</w:t>
      </w:r>
      <w:r>
        <w:rPr>
          <w:rFonts w:hAnsi="宋体"/>
          <w:bCs/>
          <w:sz w:val="24"/>
          <w:szCs w:val="24"/>
        </w:rPr>
        <w:t>。报价应包括本项目整个服务期所需的人工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、住宿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、餐旅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、设备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</w:t>
      </w:r>
      <w:r>
        <w:rPr>
          <w:rFonts w:hint="eastAsia" w:hAnsi="宋体"/>
          <w:bCs/>
          <w:sz w:val="24"/>
          <w:szCs w:val="24"/>
          <w:lang w:val="en-US" w:eastAsia="zh-CN"/>
        </w:rPr>
        <w:t>设计费、</w:t>
      </w:r>
      <w:r>
        <w:rPr>
          <w:rFonts w:hint="eastAsia" w:ascii="宋体" w:hAnsi="宋体"/>
          <w:b w:val="0"/>
          <w:bCs/>
          <w:color w:val="auto"/>
          <w:sz w:val="24"/>
          <w:highlight w:val="none"/>
        </w:rPr>
        <w:t>制作费、</w:t>
      </w:r>
      <w:r>
        <w:rPr>
          <w:rFonts w:hAnsi="宋体"/>
          <w:bCs/>
          <w:sz w:val="24"/>
          <w:szCs w:val="24"/>
        </w:rPr>
        <w:t>保险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、交通</w:t>
      </w:r>
      <w:r>
        <w:rPr>
          <w:rFonts w:hint="eastAsia" w:hAnsi="宋体"/>
          <w:bCs/>
          <w:sz w:val="24"/>
          <w:szCs w:val="24"/>
          <w:lang w:eastAsia="zh-CN"/>
        </w:rPr>
        <w:t>费</w:t>
      </w:r>
      <w:r>
        <w:rPr>
          <w:rFonts w:hAnsi="宋体"/>
          <w:bCs/>
          <w:sz w:val="24"/>
          <w:szCs w:val="24"/>
        </w:rPr>
        <w:t>、利润、税金（包含须由</w:t>
      </w:r>
      <w:r>
        <w:rPr>
          <w:rFonts w:hint="eastAsia" w:hAnsi="宋体"/>
          <w:bCs/>
          <w:sz w:val="24"/>
          <w:szCs w:val="24"/>
        </w:rPr>
        <w:t>供应商</w:t>
      </w:r>
      <w:r>
        <w:rPr>
          <w:rFonts w:hAnsi="宋体"/>
          <w:bCs/>
          <w:sz w:val="24"/>
          <w:szCs w:val="24"/>
        </w:rPr>
        <w:t>承担的各种税费）及潜在可能涉及的一切费用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hAnsi="宋体"/>
          <w:bCs/>
          <w:sz w:val="24"/>
          <w:szCs w:val="24"/>
          <w:lang w:eastAsia="zh-CN"/>
        </w:rPr>
        <w:t>。</w:t>
      </w:r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yMWVjYjk5NmJlMzJiZGM5OTRiNTc1YTI5NTA0ZWQifQ=="/>
  </w:docVars>
  <w:rsids>
    <w:rsidRoot w:val="00000000"/>
    <w:rsid w:val="022B38DD"/>
    <w:rsid w:val="05785C8A"/>
    <w:rsid w:val="0E907C07"/>
    <w:rsid w:val="147078FE"/>
    <w:rsid w:val="215533A8"/>
    <w:rsid w:val="36B204FD"/>
    <w:rsid w:val="6F6D2C38"/>
    <w:rsid w:val="751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20"/>
    </w:rPr>
  </w:style>
  <w:style w:type="paragraph" w:styleId="4">
    <w:name w:val="Body Text Indent"/>
    <w:basedOn w:val="1"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6">
    <w:name w:val="toc 1"/>
    <w:basedOn w:val="1"/>
    <w:next w:val="1"/>
    <w:semiHidden/>
    <w:uiPriority w:val="0"/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1437</Words>
  <Characters>1448</Characters>
  <Lines>0</Lines>
  <Paragraphs>0</Paragraphs>
  <TotalTime>0</TotalTime>
  <ScaleCrop>false</ScaleCrop>
  <LinksUpToDate>false</LinksUpToDate>
  <CharactersWithSpaces>1450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2024-08-06T08:39:00Z</dcterms:created>
  <dc:creator>Administrator</dc:creator>
  <cp:lastModifiedBy>虔手破新橙</cp:lastModifiedBy>
  <dcterms:modified xsi:type="dcterms:W3CDTF">2024-08-07T02:51:15Z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F7DF91CCF8B84EE8A8B62422989ABBBD_12</vt:lpwstr>
  </property>
</Properties>
</file>