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95F1">
      <w:pPr>
        <w:pStyle w:val="3"/>
        <w:spacing w:before="120" w:beforeLines="50" w:after="120" w:afterLines="50" w:line="360" w:lineRule="auto"/>
        <w:ind w:firstLine="0" w:firstLineChars="0"/>
        <w:jc w:val="left"/>
        <w:rPr>
          <w:rFonts w:hint="eastAsia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附件1</w:t>
      </w:r>
      <w:r>
        <w:rPr>
          <w:rFonts w:hint="eastAsia" w:hAnsi="宋体"/>
          <w:b/>
          <w:sz w:val="30"/>
          <w:szCs w:val="30"/>
        </w:rPr>
        <w:t>采购内容及需求</w:t>
      </w:r>
    </w:p>
    <w:p w14:paraId="45C2E6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Ansi="宋体"/>
          <w:b/>
          <w:bCs/>
          <w:sz w:val="24"/>
          <w:szCs w:val="24"/>
        </w:rPr>
      </w:pPr>
      <w:bookmarkStart w:id="0" w:name="_Toc374515869"/>
      <w:bookmarkStart w:id="1" w:name="_Toc255974604"/>
      <w:bookmarkStart w:id="2" w:name="_Toc257799727"/>
      <w:bookmarkStart w:id="3" w:name="_Toc373223050"/>
      <w:bookmarkStart w:id="4" w:name="_Toc258595212"/>
      <w:bookmarkStart w:id="5" w:name="_Toc258594148"/>
      <w:bookmarkStart w:id="6" w:name="_Toc373222961"/>
      <w:r>
        <w:rPr>
          <w:rFonts w:hAnsi="宋体"/>
          <w:b/>
          <w:bCs/>
          <w:sz w:val="24"/>
          <w:szCs w:val="24"/>
        </w:rPr>
        <w:t>一、</w:t>
      </w:r>
      <w:r>
        <w:rPr>
          <w:rFonts w:hint="eastAsia" w:hAnsi="宋体"/>
          <w:b/>
          <w:bCs/>
          <w:sz w:val="24"/>
          <w:szCs w:val="24"/>
        </w:rPr>
        <w:t>项目概况</w:t>
      </w:r>
    </w:p>
    <w:p w14:paraId="55CAC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项</w:t>
      </w:r>
      <w:r>
        <w:rPr>
          <w:rFonts w:hint="eastAsia" w:ascii="Times New Roman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目名称：干部人事档案专审及数字化服务。</w:t>
      </w:r>
    </w:p>
    <w:p w14:paraId="6DAF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val="en-US" w:eastAsia="zh-CN"/>
        </w:rPr>
        <w:t>服务期限和预算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：</w:t>
      </w:r>
    </w:p>
    <w:tbl>
      <w:tblPr>
        <w:tblStyle w:val="7"/>
        <w:tblW w:w="45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3425"/>
        <w:gridCol w:w="1340"/>
        <w:gridCol w:w="1157"/>
        <w:gridCol w:w="964"/>
      </w:tblGrid>
      <w:tr w14:paraId="1503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8EA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22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CF5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标项内容</w:t>
            </w:r>
          </w:p>
        </w:tc>
        <w:tc>
          <w:tcPr>
            <w:tcW w:w="8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2A5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服务期</w:t>
            </w:r>
          </w:p>
        </w:tc>
        <w:tc>
          <w:tcPr>
            <w:tcW w:w="7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BA1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预算</w:t>
            </w:r>
          </w:p>
        </w:tc>
        <w:tc>
          <w:tcPr>
            <w:tcW w:w="6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9B24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eastAsia="宋体" w:cs="宋体"/>
                <w:b/>
                <w:color w:val="auto"/>
                <w:highlight w:val="none"/>
              </w:rPr>
            </w:pPr>
            <w:r>
              <w:rPr>
                <w:rFonts w:hint="eastAsia" w:eastAsia="宋体" w:cs="宋体"/>
                <w:b/>
                <w:color w:val="auto"/>
                <w:highlight w:val="none"/>
              </w:rPr>
              <w:t>入围</w:t>
            </w:r>
          </w:p>
        </w:tc>
      </w:tr>
      <w:tr w14:paraId="5C92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C362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EE0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干部人事档案专审及数字化服务</w:t>
            </w:r>
          </w:p>
        </w:tc>
        <w:tc>
          <w:tcPr>
            <w:tcW w:w="8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2B3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个月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6A0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4.9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w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7EE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1家</w:t>
            </w:r>
          </w:p>
        </w:tc>
      </w:tr>
    </w:tbl>
    <w:p w14:paraId="4F02D4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default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3.涉及数量：干部人事档案查缺整理及数字化65卷，补充完善干部人事档案208卷。</w:t>
      </w:r>
    </w:p>
    <w:p w14:paraId="4EE4DB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int="eastAsia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lang w:val="en-US" w:eastAsia="zh-CN"/>
        </w:rPr>
        <w:t>二、采购内容</w:t>
      </w:r>
    </w:p>
    <w:p w14:paraId="1DC0C8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本项目涵盖干部人事档案查缺整理与档案数字化加工全流程服务，严格执行中组部、国家档案局及行业规范标准，具体要求如下：</w:t>
      </w:r>
    </w:p>
    <w:p w14:paraId="000DA3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int="eastAsia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lang w:val="en-US" w:eastAsia="zh-CN"/>
        </w:rPr>
        <w:t>（一）干部人事档案查缺整理服务​</w:t>
      </w:r>
    </w:p>
    <w:p w14:paraId="6D05CC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完成档案材料查缺补漏、分类排序、目录编制、装订规范等整理工作，符合</w:t>
      </w:r>
      <w:r>
        <w:rPr>
          <w:rFonts w:hint="eastAsia" w:hAnsi="宋体"/>
          <w:b w:val="0"/>
          <w:bCs w:val="0"/>
          <w:sz w:val="24"/>
          <w:szCs w:val="24"/>
          <w:highlight w:val="none"/>
          <w:lang w:val="en-US" w:eastAsia="zh-CN"/>
        </w:rPr>
        <w:t>《干部人事档案材料收集归档规定》《干部人事档案整理工作细则》。</w:t>
      </w:r>
    </w:p>
    <w:p w14:paraId="67AC14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要求：分类准确；目录与材料一一对应；不少页、不多页；材料名称、材料形成时间、页数和备注等栏目填写准确。</w:t>
      </w:r>
    </w:p>
    <w:p w14:paraId="487492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int="eastAsia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lang w:val="en-US" w:eastAsia="zh-CN"/>
        </w:rPr>
        <w:t>（二）干部人事档案数字化服务​</w:t>
      </w:r>
    </w:p>
    <w:p w14:paraId="320AAE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依据《关于报送新任中管干部数字档案的通</w:t>
      </w:r>
      <w:r>
        <w:rPr>
          <w:rFonts w:hint="eastAsia" w:hAnsi="宋体"/>
          <w:b w:val="0"/>
          <w:bCs w:val="0"/>
          <w:sz w:val="24"/>
          <w:szCs w:val="24"/>
          <w:highlight w:val="none"/>
          <w:lang w:val="en-US" w:eastAsia="zh-CN"/>
        </w:rPr>
        <w:t>知》（组通字〔2010〕61号）、《干部人事档案数字化技术规范》（GB/T33870-2017），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完成原始档案扫描制作、原始图像处理纠偏、原始图像数据审核、干部档案目录录入、档案数据备份等全流程加工。</w:t>
      </w:r>
    </w:p>
    <w:p w14:paraId="610614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要求：目录数据与图像数据一一对应，无错别字；图像的排列顺序与纸质档案排序要求一致；图像清晰，亮度适中，色彩模式24位真彩色，分辨率300DPI；无坏死文件，无黑屏；图像页码连续，无错页；无计算机病毒。</w:t>
      </w:r>
    </w:p>
    <w:p w14:paraId="7ACED6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int="eastAsia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三、服务要求</w:t>
      </w:r>
    </w:p>
    <w:p w14:paraId="2C5AFB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1.涉密管理：本项目涉及干部人事敏感信息，按涉密载体管理，供应商须全程执行保密制度，遵守国家有关保密的法律和行政法规的规定，包括但不限于《中华人民共和国保守国家秘密法》、《计算机信息系统保密管理暂行规定》，严禁复制、传播、外泄档案信息。</w:t>
      </w:r>
    </w:p>
    <w:p w14:paraId="38C031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2.现场作业：须在采购人指定场所封闭作业，专人专管，档案出入库登记签收，全程可追溯。​</w:t>
      </w:r>
    </w:p>
    <w:p w14:paraId="2A1A5B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3.专业团队：项目团队稳定，核心人员具备档案查缺整理与数字化经验，无违法违纪记录，接受采购人保密与业务培训。​</w:t>
      </w:r>
    </w:p>
    <w:p w14:paraId="56450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4.安全保障：供应商对档案安全、信息安全、数据安全负全责，签订保密协议，承担泄密法律与经济责任。</w:t>
      </w:r>
    </w:p>
    <w:p w14:paraId="131213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default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5.售后服务：供应商为本项目提供6个月的质保期服务（自验收之日起算</w:t>
      </w:r>
      <w:bookmarkStart w:id="7" w:name="_GoBack"/>
      <w:bookmarkEnd w:id="7"/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）。出现故障后，供应商应在1小时响应，4小时到达现场，2个工作日内完成整改。</w:t>
      </w:r>
    </w:p>
    <w:p w14:paraId="3208ED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6" w:firstLineChars="200"/>
        <w:textAlignment w:val="auto"/>
        <w:rPr>
          <w:rFonts w:hint="eastAsia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四、商务要求</w:t>
      </w:r>
    </w:p>
    <w:p w14:paraId="7656D9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1.服务期：合同签订生效后2个月。</w:t>
      </w:r>
    </w:p>
    <w:p w14:paraId="00CB0A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2</w:t>
      </w:r>
      <w:r>
        <w:rPr>
          <w:rFonts w:hint="eastAsia" w:hAnsi="宋体"/>
          <w:bCs/>
          <w:sz w:val="24"/>
          <w:szCs w:val="24"/>
          <w:lang w:val="en-US" w:eastAsia="zh-CN"/>
        </w:rPr>
        <w:t>.</w:t>
      </w:r>
      <w:r>
        <w:rPr>
          <w:rFonts w:hint="eastAsia" w:hAnsi="宋体"/>
          <w:bCs/>
          <w:sz w:val="24"/>
          <w:szCs w:val="24"/>
        </w:rPr>
        <w:t>付款方式：</w:t>
      </w:r>
      <w:r>
        <w:rPr>
          <w:rFonts w:hint="eastAsia" w:hAnsi="宋体"/>
          <w:bCs/>
          <w:sz w:val="24"/>
          <w:szCs w:val="24"/>
          <w:lang w:eastAsia="zh-CN"/>
        </w:rPr>
        <w:t>本次采购为一次性付款。供应商</w:t>
      </w:r>
      <w:r>
        <w:rPr>
          <w:rFonts w:hint="eastAsia" w:hAnsi="宋体"/>
          <w:bCs/>
          <w:sz w:val="24"/>
          <w:szCs w:val="24"/>
        </w:rPr>
        <w:t>完成全部服务并向</w:t>
      </w:r>
      <w:r>
        <w:rPr>
          <w:rFonts w:hint="eastAsia" w:hAnsi="宋体"/>
          <w:bCs/>
          <w:sz w:val="24"/>
          <w:szCs w:val="24"/>
          <w:lang w:eastAsia="zh-CN"/>
        </w:rPr>
        <w:t>采购人</w:t>
      </w:r>
      <w:r>
        <w:rPr>
          <w:rFonts w:hint="eastAsia" w:hAnsi="宋体"/>
          <w:bCs/>
          <w:sz w:val="24"/>
          <w:szCs w:val="24"/>
        </w:rPr>
        <w:t>提供符合</w:t>
      </w:r>
      <w:r>
        <w:rPr>
          <w:rFonts w:hint="eastAsia" w:hAnsi="宋体"/>
          <w:bCs/>
          <w:sz w:val="24"/>
          <w:szCs w:val="24"/>
          <w:lang w:eastAsia="zh-CN"/>
        </w:rPr>
        <w:t>采购人</w:t>
      </w:r>
      <w:r>
        <w:rPr>
          <w:rFonts w:hint="eastAsia" w:hAnsi="宋体"/>
          <w:bCs/>
          <w:sz w:val="24"/>
          <w:szCs w:val="24"/>
        </w:rPr>
        <w:t>和税务要求的发票后20个工作日内，</w:t>
      </w:r>
      <w:r>
        <w:rPr>
          <w:rFonts w:hint="eastAsia" w:hAnsi="宋体"/>
          <w:bCs/>
          <w:sz w:val="24"/>
          <w:szCs w:val="24"/>
          <w:lang w:eastAsia="zh-CN"/>
        </w:rPr>
        <w:t>采购人</w:t>
      </w:r>
      <w:r>
        <w:rPr>
          <w:rFonts w:hint="eastAsia" w:hAnsi="宋体"/>
          <w:bCs/>
          <w:sz w:val="24"/>
          <w:szCs w:val="24"/>
        </w:rPr>
        <w:t>支付</w:t>
      </w:r>
      <w:r>
        <w:rPr>
          <w:rFonts w:hint="eastAsia" w:hAnsi="宋体"/>
          <w:bCs/>
          <w:sz w:val="24"/>
          <w:szCs w:val="24"/>
          <w:lang w:eastAsia="zh-CN"/>
        </w:rPr>
        <w:t>供应商</w:t>
      </w:r>
      <w:r>
        <w:rPr>
          <w:rFonts w:hint="eastAsia" w:hAnsi="宋体"/>
          <w:bCs/>
          <w:sz w:val="24"/>
          <w:szCs w:val="24"/>
        </w:rPr>
        <w:t>合同总金额的100%。</w:t>
      </w:r>
    </w:p>
    <w:p w14:paraId="370BA6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</w:pPr>
      <w:r>
        <w:rPr>
          <w:rFonts w:hint="eastAsia" w:hAnsi="宋体"/>
          <w:bCs/>
          <w:sz w:val="24"/>
          <w:szCs w:val="24"/>
        </w:rPr>
        <w:t>3</w:t>
      </w:r>
      <w:r>
        <w:rPr>
          <w:rFonts w:hint="eastAsia" w:hAnsi="宋体"/>
          <w:bCs/>
          <w:sz w:val="24"/>
          <w:szCs w:val="24"/>
          <w:lang w:val="en-US" w:eastAsia="zh-CN"/>
        </w:rPr>
        <w:t>.</w:t>
      </w:r>
      <w:r>
        <w:rPr>
          <w:rFonts w:hint="eastAsia" w:hAnsi="宋体"/>
          <w:bCs/>
          <w:sz w:val="24"/>
          <w:szCs w:val="24"/>
        </w:rPr>
        <w:t>报价方式：本次报价方式为总价包干</w:t>
      </w:r>
      <w:r>
        <w:rPr>
          <w:rFonts w:hAnsi="宋体"/>
          <w:bCs/>
          <w:sz w:val="24"/>
          <w:szCs w:val="24"/>
        </w:rPr>
        <w:t>。报价应包括本项目整个服务期所需的人工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、住宿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、餐旅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、设备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</w:t>
      </w:r>
      <w:r>
        <w:rPr>
          <w:rFonts w:hint="eastAsia" w:ascii="宋体" w:hAnsi="宋体"/>
          <w:b w:val="0"/>
          <w:bCs/>
          <w:color w:val="auto"/>
          <w:sz w:val="24"/>
          <w:highlight w:val="none"/>
        </w:rPr>
        <w:t>制作费、</w:t>
      </w:r>
      <w:r>
        <w:rPr>
          <w:rFonts w:hAnsi="宋体"/>
          <w:bCs/>
          <w:sz w:val="24"/>
          <w:szCs w:val="24"/>
        </w:rPr>
        <w:t>保险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、交通</w:t>
      </w:r>
      <w:r>
        <w:rPr>
          <w:rFonts w:hint="eastAsia" w:hAnsi="宋体"/>
          <w:bCs/>
          <w:sz w:val="24"/>
          <w:szCs w:val="24"/>
          <w:lang w:eastAsia="zh-CN"/>
        </w:rPr>
        <w:t>费</w:t>
      </w:r>
      <w:r>
        <w:rPr>
          <w:rFonts w:hAnsi="宋体"/>
          <w:bCs/>
          <w:sz w:val="24"/>
          <w:szCs w:val="24"/>
        </w:rPr>
        <w:t>、利润、税金（包含须由</w:t>
      </w:r>
      <w:r>
        <w:rPr>
          <w:rFonts w:hint="eastAsia" w:hAnsi="宋体"/>
          <w:bCs/>
          <w:sz w:val="24"/>
          <w:szCs w:val="24"/>
        </w:rPr>
        <w:t>供应商</w:t>
      </w:r>
      <w:r>
        <w:rPr>
          <w:rFonts w:hAnsi="宋体"/>
          <w:bCs/>
          <w:sz w:val="24"/>
          <w:szCs w:val="24"/>
        </w:rPr>
        <w:t>承担的各种税费）及潜在可能涉及的一切费用</w:t>
      </w:r>
      <w:r>
        <w:rPr>
          <w:rFonts w:hint="eastAsia" w:hAnsi="宋体"/>
          <w:bCs/>
          <w:sz w:val="24"/>
          <w:szCs w:val="24"/>
          <w:lang w:eastAsia="zh-CN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p w14:paraId="1C4F7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WVjYjk5NmJlMzJiZGM5OTRiNTc1YTI5NTA0ZWQifQ=="/>
  </w:docVars>
  <w:rsids>
    <w:rsidRoot w:val="00000000"/>
    <w:rsid w:val="022226F1"/>
    <w:rsid w:val="09427DF2"/>
    <w:rsid w:val="15FD4466"/>
    <w:rsid w:val="1985305D"/>
    <w:rsid w:val="1B9947A6"/>
    <w:rsid w:val="1C75442D"/>
    <w:rsid w:val="1E962C29"/>
    <w:rsid w:val="1F877C23"/>
    <w:rsid w:val="228E1202"/>
    <w:rsid w:val="2A7C3754"/>
    <w:rsid w:val="2C9A4365"/>
    <w:rsid w:val="2CA46F92"/>
    <w:rsid w:val="2CDA6D3B"/>
    <w:rsid w:val="2F7B247B"/>
    <w:rsid w:val="2FF30C1D"/>
    <w:rsid w:val="3284306D"/>
    <w:rsid w:val="35E0728C"/>
    <w:rsid w:val="4D534390"/>
    <w:rsid w:val="5E0411AE"/>
    <w:rsid w:val="62CB6C58"/>
    <w:rsid w:val="632048BD"/>
    <w:rsid w:val="64FA2F83"/>
    <w:rsid w:val="65284A61"/>
    <w:rsid w:val="65D53919"/>
    <w:rsid w:val="71311911"/>
    <w:rsid w:val="731A03C5"/>
    <w:rsid w:val="7A4F3B7A"/>
    <w:rsid w:val="7C4A4A2C"/>
    <w:rsid w:val="7DD3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1062</Characters>
  <Lines>0</Lines>
  <Paragraphs>0</Paragraphs>
  <TotalTime>15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2024-08-08T06:24:00Z</dcterms:created>
  <dc:creator>Administrator</dc:creator>
  <cp:lastModifiedBy>WPS_1315743147</cp:lastModifiedBy>
  <dcterms:modified xsi:type="dcterms:W3CDTF">2026-03-18T02:30:04Z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FF10E283D95F457BAFB8C7B82A9EFA2A_12</vt:lpwstr>
  </property>
  <property fmtid="{D5CDD505-2E9C-101B-9397-08002B2CF9AE}" pid="4" name="KSOTemplateDocerSaveRecord">
    <vt:lpwstr>eyJoZGlkIjoiM2UyZWZmMTMxNDViNjBkNDQ4MzgwY2E2MGI4MmM4N2IiLCJ1c2VySWQiOiIxMzE1NzQzMTQ3In0=</vt:lpwstr>
  </property>
</Properties>
</file>