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5E5B35">
      <w:pPr>
        <w:jc w:val="center"/>
        <w:rPr>
          <w:rFonts w:hint="default"/>
          <w:b/>
          <w:bCs/>
          <w:lang w:val="en-US" w:eastAsia="zh-CN"/>
        </w:rPr>
      </w:pPr>
      <w:r>
        <w:rPr>
          <w:rFonts w:hint="eastAsia"/>
          <w:b/>
          <w:bCs/>
          <w:sz w:val="32"/>
          <w:szCs w:val="32"/>
          <w:lang w:val="en-US" w:eastAsia="zh-CN"/>
        </w:rPr>
        <w:t>全自动尿液分析仪</w:t>
      </w:r>
      <w:bookmarkStart w:id="0" w:name="_GoBack"/>
      <w:bookmarkEnd w:id="0"/>
      <w:r>
        <w:rPr>
          <w:rFonts w:hint="eastAsia"/>
          <w:b/>
          <w:bCs/>
          <w:sz w:val="32"/>
          <w:szCs w:val="32"/>
          <w:lang w:val="en-US" w:eastAsia="zh-CN"/>
        </w:rPr>
        <w:t>及配套耗材商务技术要求</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682"/>
        <w:gridCol w:w="982"/>
        <w:gridCol w:w="464"/>
        <w:gridCol w:w="504"/>
        <w:gridCol w:w="996"/>
        <w:gridCol w:w="873"/>
        <w:gridCol w:w="845"/>
        <w:gridCol w:w="1105"/>
        <w:gridCol w:w="1258"/>
      </w:tblGrid>
      <w:tr w14:paraId="39A8C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475" w:type="pct"/>
            <w:vMerge w:val="restart"/>
            <w:noWrap w:val="0"/>
            <w:vAlign w:val="center"/>
          </w:tcPr>
          <w:p w14:paraId="583C77A8">
            <w:pPr>
              <w:widowControl/>
              <w:jc w:val="center"/>
              <w:textAlignment w:val="center"/>
              <w:rPr>
                <w:rFonts w:hint="default" w:ascii="宋体" w:hAnsi="宋体" w:eastAsia="宋体" w:cs="宋体"/>
                <w:b/>
                <w:bCs/>
                <w:color w:val="000000"/>
                <w:kern w:val="0"/>
                <w:sz w:val="21"/>
                <w:szCs w:val="21"/>
                <w:vertAlign w:val="baseline"/>
                <w:lang w:val="en-US" w:eastAsia="zh-CN" w:bidi="ar"/>
              </w:rPr>
            </w:pPr>
            <w:r>
              <w:rPr>
                <w:rFonts w:hint="eastAsia" w:ascii="宋体" w:hAnsi="宋体" w:eastAsia="宋体" w:cs="宋体"/>
                <w:b/>
                <w:bCs/>
                <w:color w:val="000000"/>
                <w:kern w:val="0"/>
                <w:sz w:val="21"/>
                <w:szCs w:val="21"/>
                <w:vertAlign w:val="baseline"/>
                <w:lang w:val="en-US" w:eastAsia="zh-CN" w:bidi="ar"/>
              </w:rPr>
              <w:t>标项号</w:t>
            </w:r>
          </w:p>
        </w:tc>
        <w:tc>
          <w:tcPr>
            <w:tcW w:w="400" w:type="pct"/>
            <w:vMerge w:val="restart"/>
            <w:noWrap w:val="0"/>
            <w:vAlign w:val="center"/>
          </w:tcPr>
          <w:p w14:paraId="1C008781">
            <w:pPr>
              <w:widowControl/>
              <w:jc w:val="center"/>
              <w:textAlignment w:val="center"/>
              <w:rPr>
                <w:rFonts w:hint="default" w:ascii="宋体" w:hAnsi="宋体" w:eastAsia="宋体" w:cs="宋体"/>
                <w:b/>
                <w:bCs/>
                <w:color w:val="000000"/>
                <w:kern w:val="0"/>
                <w:sz w:val="21"/>
                <w:szCs w:val="21"/>
                <w:vertAlign w:val="baseline"/>
                <w:lang w:val="en-US" w:eastAsia="zh-CN" w:bidi="ar"/>
              </w:rPr>
            </w:pPr>
            <w:r>
              <w:rPr>
                <w:rFonts w:hint="eastAsia" w:ascii="宋体" w:hAnsi="宋体" w:eastAsia="宋体" w:cs="宋体"/>
                <w:b/>
                <w:bCs/>
                <w:color w:val="000000"/>
                <w:kern w:val="0"/>
                <w:sz w:val="21"/>
                <w:szCs w:val="21"/>
                <w:vertAlign w:val="baseline"/>
                <w:lang w:val="en-US" w:eastAsia="zh-CN" w:bidi="ar"/>
              </w:rPr>
              <w:t>需求科室</w:t>
            </w:r>
          </w:p>
        </w:tc>
        <w:tc>
          <w:tcPr>
            <w:tcW w:w="1729" w:type="pct"/>
            <w:gridSpan w:val="4"/>
            <w:noWrap w:val="0"/>
            <w:vAlign w:val="center"/>
          </w:tcPr>
          <w:p w14:paraId="693D1EE2">
            <w:pPr>
              <w:widowControl/>
              <w:jc w:val="center"/>
              <w:textAlignment w:val="center"/>
              <w:rPr>
                <w:rFonts w:hint="eastAsia" w:ascii="宋体" w:hAnsi="宋体" w:eastAsia="宋体" w:cs="宋体"/>
                <w:b/>
                <w:bCs/>
                <w:color w:val="000000"/>
                <w:kern w:val="0"/>
                <w:sz w:val="21"/>
                <w:szCs w:val="21"/>
                <w:vertAlign w:val="baseline"/>
                <w:lang w:val="en-US" w:eastAsia="zh-CN" w:bidi="ar"/>
              </w:rPr>
            </w:pPr>
            <w:r>
              <w:rPr>
                <w:rFonts w:hint="eastAsia" w:ascii="宋体" w:hAnsi="宋体" w:eastAsia="宋体" w:cs="宋体"/>
                <w:b/>
                <w:bCs/>
                <w:color w:val="000000"/>
                <w:kern w:val="0"/>
                <w:sz w:val="21"/>
                <w:szCs w:val="21"/>
                <w:vertAlign w:val="baseline"/>
                <w:lang w:val="en-US" w:eastAsia="zh-CN" w:bidi="ar"/>
              </w:rPr>
              <w:t>设备</w:t>
            </w:r>
          </w:p>
        </w:tc>
        <w:tc>
          <w:tcPr>
            <w:tcW w:w="2395" w:type="pct"/>
            <w:gridSpan w:val="4"/>
            <w:noWrap w:val="0"/>
            <w:vAlign w:val="center"/>
          </w:tcPr>
          <w:p w14:paraId="231B2AE0">
            <w:pPr>
              <w:widowControl/>
              <w:jc w:val="center"/>
              <w:textAlignment w:val="center"/>
              <w:rPr>
                <w:rFonts w:hint="default" w:ascii="宋体" w:hAnsi="宋体" w:eastAsia="宋体" w:cs="宋体"/>
                <w:b/>
                <w:bCs/>
                <w:color w:val="000000"/>
                <w:kern w:val="0"/>
                <w:sz w:val="21"/>
                <w:szCs w:val="21"/>
                <w:vertAlign w:val="baseline"/>
                <w:lang w:val="en-US" w:eastAsia="zh-CN" w:bidi="ar"/>
              </w:rPr>
            </w:pPr>
            <w:r>
              <w:rPr>
                <w:rFonts w:hint="eastAsia" w:ascii="宋体" w:hAnsi="宋体" w:eastAsia="宋体" w:cs="宋体"/>
                <w:b/>
                <w:bCs/>
                <w:color w:val="000000"/>
                <w:kern w:val="0"/>
                <w:sz w:val="21"/>
                <w:szCs w:val="21"/>
                <w:vertAlign w:val="baseline"/>
                <w:lang w:val="en-US" w:eastAsia="zh-CN" w:bidi="ar"/>
              </w:rPr>
              <w:t>配套耗材</w:t>
            </w:r>
          </w:p>
        </w:tc>
      </w:tr>
      <w:tr w14:paraId="49C05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475" w:type="pct"/>
            <w:vMerge w:val="continue"/>
            <w:noWrap w:val="0"/>
            <w:vAlign w:val="center"/>
          </w:tcPr>
          <w:p w14:paraId="15687875">
            <w:pPr>
              <w:widowControl/>
              <w:jc w:val="center"/>
              <w:textAlignment w:val="center"/>
              <w:rPr>
                <w:rFonts w:hint="eastAsia" w:ascii="宋体" w:hAnsi="宋体" w:eastAsia="宋体" w:cs="宋体"/>
                <w:b/>
                <w:bCs/>
                <w:color w:val="000000"/>
                <w:kern w:val="0"/>
                <w:sz w:val="21"/>
                <w:szCs w:val="21"/>
                <w:vertAlign w:val="baseline"/>
                <w:lang w:val="en-US" w:eastAsia="zh-CN" w:bidi="ar"/>
              </w:rPr>
            </w:pPr>
          </w:p>
        </w:tc>
        <w:tc>
          <w:tcPr>
            <w:tcW w:w="400" w:type="pct"/>
            <w:vMerge w:val="continue"/>
            <w:noWrap w:val="0"/>
            <w:vAlign w:val="center"/>
          </w:tcPr>
          <w:p w14:paraId="781A95DB">
            <w:pPr>
              <w:widowControl/>
              <w:jc w:val="center"/>
              <w:textAlignment w:val="center"/>
              <w:rPr>
                <w:rFonts w:hint="default" w:ascii="宋体" w:hAnsi="宋体" w:eastAsia="宋体" w:cs="宋体"/>
                <w:b/>
                <w:bCs/>
                <w:color w:val="000000"/>
                <w:kern w:val="0"/>
                <w:sz w:val="21"/>
                <w:szCs w:val="21"/>
                <w:vertAlign w:val="baseline"/>
                <w:lang w:eastAsia="zh-CN" w:bidi="ar"/>
              </w:rPr>
            </w:pPr>
          </w:p>
        </w:tc>
        <w:tc>
          <w:tcPr>
            <w:tcW w:w="576" w:type="pct"/>
            <w:noWrap w:val="0"/>
            <w:vAlign w:val="center"/>
          </w:tcPr>
          <w:p w14:paraId="2A48E6BB">
            <w:pPr>
              <w:widowControl/>
              <w:jc w:val="center"/>
              <w:textAlignment w:val="center"/>
              <w:rPr>
                <w:rFonts w:hint="eastAsia" w:ascii="宋体" w:hAnsi="宋体" w:eastAsia="宋体" w:cs="宋体"/>
                <w:b/>
                <w:bCs/>
                <w:color w:val="000000"/>
                <w:kern w:val="0"/>
                <w:sz w:val="21"/>
                <w:szCs w:val="21"/>
                <w:vertAlign w:val="baseline"/>
                <w:lang w:val="en-US" w:eastAsia="zh-CN" w:bidi="ar"/>
              </w:rPr>
            </w:pPr>
            <w:r>
              <w:rPr>
                <w:rFonts w:hint="eastAsia" w:ascii="宋体" w:hAnsi="宋体" w:eastAsia="宋体" w:cs="宋体"/>
                <w:b/>
                <w:bCs/>
                <w:color w:val="000000"/>
                <w:kern w:val="0"/>
                <w:sz w:val="21"/>
                <w:szCs w:val="21"/>
                <w:vertAlign w:val="baseline"/>
                <w:lang w:val="en-US" w:eastAsia="zh-CN" w:bidi="ar"/>
              </w:rPr>
              <w:t>产品名称</w:t>
            </w:r>
          </w:p>
          <w:p w14:paraId="478D1D76">
            <w:pPr>
              <w:widowControl/>
              <w:jc w:val="center"/>
              <w:textAlignment w:val="center"/>
              <w:rPr>
                <w:rFonts w:hint="default" w:ascii="宋体" w:hAnsi="宋体" w:eastAsia="宋体" w:cs="宋体"/>
                <w:b/>
                <w:bCs/>
                <w:color w:val="000000"/>
                <w:kern w:val="0"/>
                <w:sz w:val="21"/>
                <w:szCs w:val="21"/>
                <w:vertAlign w:val="baseline"/>
                <w:lang w:eastAsia="zh-CN" w:bidi="ar"/>
              </w:rPr>
            </w:pPr>
            <w:r>
              <w:rPr>
                <w:rFonts w:hint="eastAsia" w:ascii="宋体" w:hAnsi="宋体" w:eastAsia="宋体" w:cs="宋体"/>
                <w:b/>
                <w:bCs/>
                <w:color w:val="000000"/>
                <w:kern w:val="0"/>
                <w:sz w:val="21"/>
                <w:szCs w:val="21"/>
                <w:vertAlign w:val="baseline"/>
                <w:lang w:val="en-US" w:eastAsia="zh-CN" w:bidi="ar"/>
              </w:rPr>
              <w:t>（或同类产品）</w:t>
            </w:r>
          </w:p>
        </w:tc>
        <w:tc>
          <w:tcPr>
            <w:tcW w:w="272" w:type="pct"/>
            <w:noWrap w:val="0"/>
            <w:vAlign w:val="center"/>
          </w:tcPr>
          <w:p w14:paraId="1061ED31">
            <w:pPr>
              <w:widowControl/>
              <w:jc w:val="center"/>
              <w:textAlignment w:val="center"/>
              <w:rPr>
                <w:rFonts w:hint="eastAsia" w:ascii="宋体" w:hAnsi="宋体" w:eastAsia="宋体" w:cs="宋体"/>
                <w:b/>
                <w:bCs/>
                <w:color w:val="000000"/>
                <w:kern w:val="0"/>
                <w:sz w:val="21"/>
                <w:szCs w:val="21"/>
                <w:vertAlign w:val="baseline"/>
                <w:lang w:val="en-US" w:eastAsia="zh-CN" w:bidi="ar"/>
              </w:rPr>
            </w:pPr>
            <w:r>
              <w:rPr>
                <w:rFonts w:hint="eastAsia" w:ascii="宋体" w:hAnsi="宋体" w:eastAsia="宋体" w:cs="宋体"/>
                <w:b/>
                <w:bCs/>
                <w:color w:val="000000"/>
                <w:kern w:val="0"/>
                <w:sz w:val="21"/>
                <w:szCs w:val="21"/>
                <w:vertAlign w:val="baseline"/>
                <w:lang w:val="en-US" w:eastAsia="zh-CN" w:bidi="ar"/>
              </w:rPr>
              <w:t>单位</w:t>
            </w:r>
          </w:p>
        </w:tc>
        <w:tc>
          <w:tcPr>
            <w:tcW w:w="295" w:type="pct"/>
            <w:noWrap w:val="0"/>
            <w:vAlign w:val="center"/>
          </w:tcPr>
          <w:p w14:paraId="4E6C23C4">
            <w:pPr>
              <w:widowControl/>
              <w:jc w:val="center"/>
              <w:textAlignment w:val="center"/>
              <w:rPr>
                <w:rFonts w:hint="eastAsia" w:ascii="宋体" w:hAnsi="宋体" w:eastAsia="宋体" w:cs="宋体"/>
                <w:b/>
                <w:bCs/>
                <w:color w:val="000000"/>
                <w:kern w:val="0"/>
                <w:sz w:val="21"/>
                <w:szCs w:val="21"/>
                <w:vertAlign w:val="baseline"/>
                <w:lang w:val="en-US" w:eastAsia="zh-CN" w:bidi="ar"/>
              </w:rPr>
            </w:pPr>
            <w:r>
              <w:rPr>
                <w:rFonts w:hint="eastAsia" w:ascii="宋体" w:hAnsi="宋体" w:eastAsia="宋体" w:cs="宋体"/>
                <w:b/>
                <w:bCs/>
                <w:color w:val="000000"/>
                <w:kern w:val="0"/>
                <w:sz w:val="21"/>
                <w:szCs w:val="21"/>
                <w:vertAlign w:val="baseline"/>
                <w:lang w:val="en-US" w:eastAsia="zh-CN" w:bidi="ar"/>
              </w:rPr>
              <w:t>数量</w:t>
            </w:r>
          </w:p>
        </w:tc>
        <w:tc>
          <w:tcPr>
            <w:tcW w:w="584" w:type="pct"/>
            <w:noWrap w:val="0"/>
            <w:vAlign w:val="center"/>
          </w:tcPr>
          <w:p w14:paraId="286CE192">
            <w:pPr>
              <w:widowControl/>
              <w:jc w:val="center"/>
              <w:textAlignment w:val="center"/>
              <w:rPr>
                <w:rFonts w:hint="eastAsia" w:ascii="宋体" w:hAnsi="宋体" w:eastAsia="宋体" w:cs="宋体"/>
                <w:b/>
                <w:bCs/>
                <w:color w:val="000000"/>
                <w:kern w:val="0"/>
                <w:sz w:val="21"/>
                <w:szCs w:val="21"/>
                <w:vertAlign w:val="baseline"/>
                <w:lang w:val="en-US" w:eastAsia="zh-CN" w:bidi="ar"/>
              </w:rPr>
            </w:pPr>
            <w:r>
              <w:rPr>
                <w:rFonts w:hint="eastAsia" w:ascii="宋体" w:hAnsi="宋体" w:eastAsia="宋体" w:cs="宋体"/>
                <w:b/>
                <w:bCs/>
                <w:color w:val="000000"/>
                <w:kern w:val="0"/>
                <w:sz w:val="21"/>
                <w:szCs w:val="21"/>
                <w:vertAlign w:val="baseline"/>
                <w:lang w:val="en-US" w:eastAsia="zh-CN" w:bidi="ar"/>
              </w:rPr>
              <w:t>预算</w:t>
            </w:r>
          </w:p>
          <w:p w14:paraId="4AD48425">
            <w:pPr>
              <w:widowControl/>
              <w:jc w:val="center"/>
              <w:textAlignment w:val="center"/>
              <w:rPr>
                <w:rFonts w:hint="eastAsia" w:ascii="宋体" w:hAnsi="宋体" w:eastAsia="宋体" w:cs="宋体"/>
                <w:b/>
                <w:bCs/>
                <w:color w:val="000000"/>
                <w:kern w:val="0"/>
                <w:sz w:val="21"/>
                <w:szCs w:val="21"/>
                <w:vertAlign w:val="baseline"/>
                <w:lang w:val="en-US" w:eastAsia="zh-CN" w:bidi="ar"/>
              </w:rPr>
            </w:pPr>
            <w:r>
              <w:rPr>
                <w:rFonts w:hint="eastAsia" w:ascii="宋体" w:hAnsi="宋体" w:eastAsia="宋体" w:cs="宋体"/>
                <w:b/>
                <w:bCs/>
                <w:color w:val="000000"/>
                <w:kern w:val="0"/>
                <w:sz w:val="21"/>
                <w:szCs w:val="21"/>
                <w:vertAlign w:val="baseline"/>
                <w:lang w:val="en-US" w:eastAsia="zh-CN" w:bidi="ar"/>
              </w:rPr>
              <w:t>金额</w:t>
            </w:r>
          </w:p>
          <w:p w14:paraId="0B1BBE84">
            <w:pPr>
              <w:widowControl/>
              <w:jc w:val="center"/>
              <w:textAlignment w:val="center"/>
              <w:rPr>
                <w:rFonts w:hint="eastAsia" w:ascii="宋体" w:hAnsi="宋体" w:eastAsia="宋体" w:cs="宋体"/>
                <w:b/>
                <w:bCs/>
                <w:color w:val="000000"/>
                <w:kern w:val="0"/>
                <w:sz w:val="21"/>
                <w:szCs w:val="21"/>
                <w:vertAlign w:val="baseline"/>
                <w:lang w:val="en-US" w:eastAsia="zh-CN" w:bidi="ar"/>
              </w:rPr>
            </w:pPr>
            <w:r>
              <w:rPr>
                <w:rFonts w:hint="eastAsia" w:ascii="宋体" w:hAnsi="宋体" w:eastAsia="宋体" w:cs="宋体"/>
                <w:b/>
                <w:bCs/>
                <w:color w:val="000000"/>
                <w:kern w:val="0"/>
                <w:sz w:val="21"/>
                <w:szCs w:val="21"/>
                <w:vertAlign w:val="baseline"/>
                <w:lang w:val="en-US" w:eastAsia="zh-CN" w:bidi="ar"/>
              </w:rPr>
              <w:t>（万元）</w:t>
            </w:r>
          </w:p>
        </w:tc>
        <w:tc>
          <w:tcPr>
            <w:tcW w:w="512" w:type="pct"/>
            <w:noWrap w:val="0"/>
            <w:vAlign w:val="center"/>
          </w:tcPr>
          <w:p w14:paraId="6C0879C1">
            <w:pPr>
              <w:widowControl/>
              <w:jc w:val="center"/>
              <w:textAlignment w:val="center"/>
              <w:rPr>
                <w:rFonts w:hint="eastAsia" w:ascii="宋体" w:hAnsi="宋体" w:eastAsia="宋体" w:cs="宋体"/>
                <w:b/>
                <w:bCs/>
                <w:color w:val="000000"/>
                <w:kern w:val="0"/>
                <w:sz w:val="21"/>
                <w:szCs w:val="21"/>
                <w:vertAlign w:val="baseline"/>
                <w:lang w:val="en-US" w:eastAsia="zh-CN" w:bidi="ar"/>
              </w:rPr>
            </w:pPr>
            <w:r>
              <w:rPr>
                <w:rFonts w:hint="eastAsia" w:ascii="宋体" w:hAnsi="宋体" w:eastAsia="宋体" w:cs="宋体"/>
                <w:b/>
                <w:bCs/>
                <w:color w:val="000000"/>
                <w:kern w:val="0"/>
                <w:sz w:val="21"/>
                <w:szCs w:val="21"/>
                <w:vertAlign w:val="baseline"/>
                <w:lang w:val="en-US" w:eastAsia="zh-CN" w:bidi="ar"/>
              </w:rPr>
              <w:t>检验项目名称</w:t>
            </w:r>
          </w:p>
        </w:tc>
        <w:tc>
          <w:tcPr>
            <w:tcW w:w="495" w:type="pct"/>
            <w:noWrap w:val="0"/>
            <w:vAlign w:val="center"/>
          </w:tcPr>
          <w:p w14:paraId="0DC68A99">
            <w:pPr>
              <w:widowControl/>
              <w:jc w:val="center"/>
              <w:textAlignment w:val="center"/>
              <w:rPr>
                <w:rFonts w:hint="default" w:ascii="宋体" w:hAnsi="宋体" w:eastAsia="宋体" w:cs="宋体"/>
                <w:b/>
                <w:bCs/>
                <w:color w:val="000000"/>
                <w:kern w:val="0"/>
                <w:sz w:val="21"/>
                <w:szCs w:val="21"/>
                <w:vertAlign w:val="baseline"/>
                <w:lang w:eastAsia="zh-CN" w:bidi="ar"/>
              </w:rPr>
            </w:pPr>
            <w:r>
              <w:rPr>
                <w:rFonts w:hint="eastAsia" w:ascii="宋体" w:hAnsi="宋体" w:eastAsia="宋体" w:cs="宋体"/>
                <w:b/>
                <w:bCs/>
                <w:color w:val="000000"/>
                <w:kern w:val="0"/>
                <w:sz w:val="21"/>
                <w:szCs w:val="21"/>
                <w:vertAlign w:val="baseline"/>
                <w:lang w:val="en-US" w:eastAsia="zh-CN" w:bidi="ar"/>
              </w:rPr>
              <w:t>单位</w:t>
            </w:r>
          </w:p>
        </w:tc>
        <w:tc>
          <w:tcPr>
            <w:tcW w:w="648" w:type="pct"/>
            <w:noWrap w:val="0"/>
            <w:vAlign w:val="center"/>
          </w:tcPr>
          <w:p w14:paraId="73CE5CE7">
            <w:pPr>
              <w:widowControl/>
              <w:jc w:val="center"/>
              <w:textAlignment w:val="center"/>
              <w:rPr>
                <w:rFonts w:hint="default" w:ascii="宋体" w:hAnsi="宋体" w:eastAsia="宋体" w:cs="宋体"/>
                <w:b/>
                <w:bCs/>
                <w:color w:val="000000"/>
                <w:kern w:val="0"/>
                <w:sz w:val="21"/>
                <w:szCs w:val="21"/>
                <w:vertAlign w:val="baseline"/>
                <w:lang w:eastAsia="zh-CN" w:bidi="ar"/>
              </w:rPr>
            </w:pPr>
            <w:r>
              <w:rPr>
                <w:rFonts w:hint="eastAsia" w:ascii="宋体" w:hAnsi="宋体" w:eastAsia="宋体" w:cs="宋体"/>
                <w:b/>
                <w:bCs/>
                <w:color w:val="000000"/>
                <w:kern w:val="0"/>
                <w:sz w:val="21"/>
                <w:szCs w:val="21"/>
                <w:vertAlign w:val="baseline"/>
                <w:lang w:val="en-US" w:eastAsia="zh-CN" w:bidi="ar"/>
              </w:rPr>
              <w:t>年测试量</w:t>
            </w:r>
          </w:p>
        </w:tc>
        <w:tc>
          <w:tcPr>
            <w:tcW w:w="738" w:type="pct"/>
            <w:noWrap w:val="0"/>
            <w:vAlign w:val="center"/>
          </w:tcPr>
          <w:p w14:paraId="3F432BB8">
            <w:pPr>
              <w:widowControl/>
              <w:jc w:val="center"/>
              <w:textAlignment w:val="center"/>
              <w:rPr>
                <w:rFonts w:hint="eastAsia" w:ascii="宋体" w:hAnsi="宋体" w:eastAsia="宋体" w:cs="宋体"/>
                <w:b/>
                <w:bCs/>
                <w:color w:val="000000"/>
                <w:kern w:val="0"/>
                <w:sz w:val="21"/>
                <w:szCs w:val="21"/>
                <w:vertAlign w:val="baseline"/>
                <w:lang w:val="en-US" w:eastAsia="zh-CN" w:bidi="ar"/>
              </w:rPr>
            </w:pPr>
            <w:r>
              <w:rPr>
                <w:rFonts w:hint="eastAsia" w:ascii="宋体" w:hAnsi="宋体" w:eastAsia="宋体" w:cs="宋体"/>
                <w:b/>
                <w:bCs/>
                <w:color w:val="000000"/>
                <w:kern w:val="0"/>
                <w:sz w:val="21"/>
                <w:szCs w:val="21"/>
                <w:vertAlign w:val="baseline"/>
                <w:lang w:val="en-US" w:eastAsia="zh-CN" w:bidi="ar"/>
              </w:rPr>
              <w:t>年预算</w:t>
            </w:r>
          </w:p>
          <w:p w14:paraId="58A8EB16">
            <w:pPr>
              <w:widowControl/>
              <w:jc w:val="center"/>
              <w:textAlignment w:val="center"/>
              <w:rPr>
                <w:rFonts w:hint="eastAsia" w:ascii="宋体" w:hAnsi="宋体" w:eastAsia="宋体" w:cs="宋体"/>
                <w:b/>
                <w:bCs/>
                <w:color w:val="000000"/>
                <w:kern w:val="0"/>
                <w:sz w:val="21"/>
                <w:szCs w:val="21"/>
                <w:vertAlign w:val="baseline"/>
                <w:lang w:val="en-US" w:eastAsia="zh-CN" w:bidi="ar"/>
              </w:rPr>
            </w:pPr>
            <w:r>
              <w:rPr>
                <w:rFonts w:hint="eastAsia" w:ascii="宋体" w:hAnsi="宋体" w:eastAsia="宋体" w:cs="宋体"/>
                <w:b/>
                <w:bCs/>
                <w:color w:val="000000"/>
                <w:kern w:val="0"/>
                <w:sz w:val="21"/>
                <w:szCs w:val="21"/>
                <w:vertAlign w:val="baseline"/>
                <w:lang w:val="en-US" w:eastAsia="zh-CN" w:bidi="ar"/>
              </w:rPr>
              <w:t>金额</w:t>
            </w:r>
          </w:p>
          <w:p w14:paraId="3C9CDFA3">
            <w:pPr>
              <w:widowControl/>
              <w:jc w:val="center"/>
              <w:textAlignment w:val="center"/>
              <w:rPr>
                <w:rFonts w:hint="default" w:ascii="宋体" w:hAnsi="宋体" w:eastAsia="宋体" w:cs="宋体"/>
                <w:b/>
                <w:bCs/>
                <w:color w:val="000000"/>
                <w:kern w:val="0"/>
                <w:sz w:val="21"/>
                <w:szCs w:val="21"/>
                <w:vertAlign w:val="baseline"/>
                <w:lang w:eastAsia="zh-CN" w:bidi="ar"/>
              </w:rPr>
            </w:pPr>
            <w:r>
              <w:rPr>
                <w:rFonts w:hint="eastAsia" w:ascii="宋体" w:hAnsi="宋体" w:eastAsia="宋体" w:cs="宋体"/>
                <w:b/>
                <w:bCs/>
                <w:color w:val="000000"/>
                <w:kern w:val="0"/>
                <w:sz w:val="21"/>
                <w:szCs w:val="21"/>
                <w:vertAlign w:val="baseline"/>
                <w:lang w:val="en-US" w:eastAsia="zh-CN" w:bidi="ar"/>
              </w:rPr>
              <w:t>（万元）</w:t>
            </w:r>
          </w:p>
        </w:tc>
      </w:tr>
      <w:tr w14:paraId="52F1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475" w:type="pct"/>
            <w:noWrap w:val="0"/>
            <w:vAlign w:val="center"/>
          </w:tcPr>
          <w:p w14:paraId="2BFEE527">
            <w:pPr>
              <w:widowControl/>
              <w:spacing w:line="240" w:lineRule="atLeast"/>
              <w:jc w:val="center"/>
              <w:rPr>
                <w:rFonts w:hint="default" w:ascii="宋体" w:hAnsi="宋体" w:eastAsia="宋体" w:cs="宋体"/>
                <w:b w:val="0"/>
                <w:bCs w:val="0"/>
                <w:sz w:val="21"/>
                <w:szCs w:val="24"/>
                <w:vertAlign w:val="baseline"/>
                <w:lang w:val="en-US" w:eastAsia="zh-CN"/>
              </w:rPr>
            </w:pPr>
            <w:r>
              <w:rPr>
                <w:rFonts w:hint="eastAsia" w:ascii="宋体" w:hAnsi="宋体" w:eastAsia="宋体" w:cs="宋体"/>
                <w:b w:val="0"/>
                <w:bCs w:val="0"/>
                <w:sz w:val="21"/>
                <w:szCs w:val="24"/>
                <w:vertAlign w:val="baseline"/>
                <w:lang w:val="en-US" w:eastAsia="zh-CN"/>
              </w:rPr>
              <w:t>2026QJZ-12</w:t>
            </w:r>
          </w:p>
        </w:tc>
        <w:tc>
          <w:tcPr>
            <w:tcW w:w="400" w:type="pct"/>
            <w:noWrap w:val="0"/>
            <w:vAlign w:val="center"/>
          </w:tcPr>
          <w:p w14:paraId="6CAEFA5B">
            <w:pPr>
              <w:widowControl/>
              <w:spacing w:line="240" w:lineRule="atLeast"/>
              <w:jc w:val="center"/>
              <w:rPr>
                <w:rFonts w:hint="default" w:ascii="宋体" w:hAnsi="宋体" w:eastAsia="宋体" w:cs="宋体"/>
                <w:b w:val="0"/>
                <w:bCs w:val="0"/>
                <w:sz w:val="21"/>
                <w:szCs w:val="24"/>
                <w:vertAlign w:val="baseline"/>
                <w:lang w:eastAsia="zh-CN"/>
              </w:rPr>
            </w:pPr>
            <w:r>
              <w:rPr>
                <w:rFonts w:hint="eastAsia" w:ascii="宋体" w:hAnsi="宋体" w:eastAsia="宋体" w:cs="宋体"/>
                <w:b w:val="0"/>
                <w:bCs w:val="0"/>
                <w:sz w:val="21"/>
                <w:szCs w:val="24"/>
                <w:vertAlign w:val="baseline"/>
                <w:lang w:val="en-US" w:eastAsia="zh-CN"/>
              </w:rPr>
              <w:t>检验科</w:t>
            </w:r>
          </w:p>
        </w:tc>
        <w:tc>
          <w:tcPr>
            <w:tcW w:w="576" w:type="pct"/>
            <w:noWrap w:val="0"/>
            <w:vAlign w:val="center"/>
          </w:tcPr>
          <w:p w14:paraId="1AFE28C9">
            <w:pPr>
              <w:widowControl/>
              <w:spacing w:line="240" w:lineRule="atLeast"/>
              <w:jc w:val="center"/>
              <w:rPr>
                <w:rFonts w:hint="default" w:ascii="宋体" w:hAnsi="宋体" w:eastAsia="宋体" w:cs="宋体"/>
                <w:b w:val="0"/>
                <w:bCs w:val="0"/>
                <w:sz w:val="21"/>
                <w:szCs w:val="24"/>
                <w:vertAlign w:val="baseline"/>
                <w:lang w:val="en-US" w:eastAsia="zh-CN"/>
              </w:rPr>
            </w:pPr>
            <w:r>
              <w:rPr>
                <w:rFonts w:hint="eastAsia" w:ascii="宋体" w:hAnsi="宋体" w:eastAsia="宋体" w:cs="宋体"/>
                <w:b w:val="0"/>
                <w:bCs w:val="0"/>
                <w:sz w:val="21"/>
                <w:szCs w:val="24"/>
                <w:vertAlign w:val="baseline"/>
                <w:lang w:val="en-US" w:eastAsia="zh-CN"/>
              </w:rPr>
              <w:t>全自动尿液分析仪</w:t>
            </w:r>
          </w:p>
        </w:tc>
        <w:tc>
          <w:tcPr>
            <w:tcW w:w="272" w:type="pct"/>
            <w:noWrap w:val="0"/>
            <w:vAlign w:val="center"/>
          </w:tcPr>
          <w:p w14:paraId="12AD823C">
            <w:pPr>
              <w:widowControl/>
              <w:spacing w:line="240" w:lineRule="atLeast"/>
              <w:jc w:val="center"/>
              <w:rPr>
                <w:rFonts w:hint="default" w:ascii="宋体" w:hAnsi="宋体" w:eastAsia="宋体" w:cs="宋体"/>
                <w:b w:val="0"/>
                <w:bCs w:val="0"/>
                <w:sz w:val="21"/>
                <w:szCs w:val="24"/>
                <w:vertAlign w:val="baseline"/>
                <w:lang w:val="en-US" w:eastAsia="zh-CN"/>
              </w:rPr>
            </w:pPr>
            <w:r>
              <w:rPr>
                <w:rFonts w:hint="eastAsia" w:ascii="宋体" w:hAnsi="宋体" w:eastAsia="宋体" w:cs="宋体"/>
                <w:b w:val="0"/>
                <w:bCs w:val="0"/>
                <w:sz w:val="21"/>
                <w:szCs w:val="24"/>
                <w:vertAlign w:val="baseline"/>
                <w:lang w:val="en-US" w:eastAsia="zh-CN"/>
              </w:rPr>
              <w:t>台</w:t>
            </w:r>
          </w:p>
        </w:tc>
        <w:tc>
          <w:tcPr>
            <w:tcW w:w="295" w:type="pct"/>
            <w:noWrap w:val="0"/>
            <w:vAlign w:val="center"/>
          </w:tcPr>
          <w:p w14:paraId="5F170B0D">
            <w:pPr>
              <w:widowControl/>
              <w:spacing w:line="240" w:lineRule="atLeast"/>
              <w:jc w:val="center"/>
              <w:rPr>
                <w:rFonts w:hint="default" w:ascii="宋体" w:hAnsi="宋体" w:eastAsia="宋体" w:cs="宋体"/>
                <w:b w:val="0"/>
                <w:bCs w:val="0"/>
                <w:sz w:val="21"/>
                <w:szCs w:val="24"/>
                <w:vertAlign w:val="baseline"/>
                <w:lang w:val="en-US" w:eastAsia="zh-CN"/>
              </w:rPr>
            </w:pPr>
            <w:r>
              <w:rPr>
                <w:rFonts w:hint="eastAsia" w:ascii="宋体" w:hAnsi="宋体" w:eastAsia="宋体" w:cs="宋体"/>
                <w:b w:val="0"/>
                <w:bCs w:val="0"/>
                <w:sz w:val="21"/>
                <w:szCs w:val="24"/>
                <w:vertAlign w:val="baseline"/>
                <w:lang w:val="en-US" w:eastAsia="zh-CN"/>
              </w:rPr>
              <w:t>1</w:t>
            </w:r>
          </w:p>
        </w:tc>
        <w:tc>
          <w:tcPr>
            <w:tcW w:w="584" w:type="pct"/>
            <w:noWrap w:val="0"/>
            <w:vAlign w:val="center"/>
          </w:tcPr>
          <w:p w14:paraId="328C9473">
            <w:pPr>
              <w:widowControl/>
              <w:spacing w:line="240" w:lineRule="atLeast"/>
              <w:jc w:val="center"/>
              <w:rPr>
                <w:rFonts w:hint="default" w:ascii="宋体" w:hAnsi="宋体" w:eastAsia="宋体" w:cs="宋体"/>
                <w:b w:val="0"/>
                <w:bCs w:val="0"/>
                <w:sz w:val="21"/>
                <w:szCs w:val="24"/>
                <w:vertAlign w:val="baseline"/>
                <w:lang w:val="en-US" w:eastAsia="zh-CN"/>
              </w:rPr>
            </w:pPr>
            <w:r>
              <w:rPr>
                <w:rFonts w:hint="eastAsia" w:ascii="宋体" w:hAnsi="宋体" w:eastAsia="宋体" w:cs="宋体"/>
                <w:b w:val="0"/>
                <w:bCs w:val="0"/>
                <w:sz w:val="21"/>
                <w:szCs w:val="24"/>
                <w:vertAlign w:val="baseline"/>
                <w:lang w:val="en-US" w:eastAsia="zh-CN"/>
              </w:rPr>
              <w:t>25</w:t>
            </w:r>
          </w:p>
        </w:tc>
        <w:tc>
          <w:tcPr>
            <w:tcW w:w="512" w:type="pct"/>
            <w:noWrap w:val="0"/>
            <w:vAlign w:val="center"/>
          </w:tcPr>
          <w:p w14:paraId="5D95391E">
            <w:pPr>
              <w:widowControl/>
              <w:spacing w:line="240" w:lineRule="atLeast"/>
              <w:jc w:val="center"/>
              <w:rPr>
                <w:rFonts w:hint="eastAsia" w:ascii="宋体" w:hAnsi="宋体" w:eastAsia="宋体" w:cs="宋体"/>
                <w:b w:val="0"/>
                <w:bCs w:val="0"/>
                <w:sz w:val="21"/>
                <w:szCs w:val="24"/>
                <w:vertAlign w:val="baseline"/>
                <w:lang w:val="en-US" w:eastAsia="zh-CN"/>
              </w:rPr>
            </w:pPr>
            <w:r>
              <w:rPr>
                <w:rFonts w:hint="eastAsia" w:ascii="宋体" w:hAnsi="宋体" w:eastAsia="宋体" w:cs="宋体"/>
                <w:b w:val="0"/>
                <w:bCs w:val="0"/>
                <w:sz w:val="21"/>
                <w:szCs w:val="24"/>
                <w:vertAlign w:val="baseline"/>
                <w:lang w:val="en-US" w:eastAsia="zh-CN"/>
              </w:rPr>
              <w:t>尿常规</w:t>
            </w:r>
          </w:p>
        </w:tc>
        <w:tc>
          <w:tcPr>
            <w:tcW w:w="495" w:type="pct"/>
            <w:noWrap w:val="0"/>
            <w:vAlign w:val="center"/>
          </w:tcPr>
          <w:p w14:paraId="287F3FE6">
            <w:pPr>
              <w:widowControl/>
              <w:spacing w:line="240" w:lineRule="atLeast"/>
              <w:jc w:val="center"/>
              <w:rPr>
                <w:rFonts w:hint="default" w:ascii="宋体" w:hAnsi="宋体" w:eastAsia="宋体" w:cs="宋体"/>
                <w:b w:val="0"/>
                <w:bCs w:val="0"/>
                <w:sz w:val="21"/>
                <w:szCs w:val="24"/>
                <w:vertAlign w:val="baseline"/>
                <w:lang w:val="en-US" w:eastAsia="zh-CN"/>
              </w:rPr>
            </w:pPr>
            <w:r>
              <w:rPr>
                <w:rFonts w:hint="eastAsia" w:ascii="宋体" w:hAnsi="宋体" w:eastAsia="宋体" w:cs="宋体"/>
                <w:b w:val="0"/>
                <w:bCs w:val="0"/>
                <w:sz w:val="21"/>
                <w:szCs w:val="24"/>
                <w:vertAlign w:val="baseline"/>
                <w:lang w:val="en-US" w:eastAsia="zh-CN"/>
              </w:rPr>
              <w:t>人份</w:t>
            </w:r>
          </w:p>
        </w:tc>
        <w:tc>
          <w:tcPr>
            <w:tcW w:w="648" w:type="pct"/>
            <w:noWrap w:val="0"/>
            <w:vAlign w:val="center"/>
          </w:tcPr>
          <w:p w14:paraId="37A30159">
            <w:pPr>
              <w:widowControl/>
              <w:spacing w:line="240" w:lineRule="atLeast"/>
              <w:jc w:val="center"/>
              <w:rPr>
                <w:rFonts w:hint="default" w:ascii="宋体" w:hAnsi="宋体" w:eastAsia="宋体" w:cs="宋体"/>
                <w:b w:val="0"/>
                <w:bCs w:val="0"/>
                <w:sz w:val="21"/>
                <w:szCs w:val="24"/>
                <w:vertAlign w:val="baseline"/>
                <w:lang w:val="en-US" w:eastAsia="zh-CN"/>
              </w:rPr>
            </w:pPr>
            <w:r>
              <w:rPr>
                <w:rFonts w:hint="eastAsia" w:ascii="宋体" w:hAnsi="宋体" w:eastAsia="宋体" w:cs="宋体"/>
                <w:b w:val="0"/>
                <w:bCs w:val="0"/>
                <w:sz w:val="21"/>
                <w:szCs w:val="24"/>
                <w:vertAlign w:val="baseline"/>
                <w:lang w:val="en-US" w:eastAsia="zh-CN"/>
              </w:rPr>
              <w:t>64862.4</w:t>
            </w:r>
          </w:p>
        </w:tc>
        <w:tc>
          <w:tcPr>
            <w:tcW w:w="738" w:type="pct"/>
            <w:noWrap w:val="0"/>
            <w:vAlign w:val="center"/>
          </w:tcPr>
          <w:p w14:paraId="78A42A81">
            <w:pPr>
              <w:widowControl/>
              <w:spacing w:line="240" w:lineRule="atLeast"/>
              <w:jc w:val="center"/>
              <w:rPr>
                <w:rFonts w:hint="default" w:ascii="宋体" w:hAnsi="宋体" w:eastAsia="宋体" w:cs="宋体"/>
                <w:b w:val="0"/>
                <w:bCs w:val="0"/>
                <w:sz w:val="21"/>
                <w:szCs w:val="24"/>
                <w:vertAlign w:val="baseline"/>
                <w:lang w:val="en-US" w:eastAsia="zh-CN"/>
              </w:rPr>
            </w:pPr>
            <w:r>
              <w:rPr>
                <w:rFonts w:hint="eastAsia" w:ascii="宋体" w:hAnsi="宋体" w:eastAsia="宋体" w:cs="宋体"/>
                <w:b w:val="0"/>
                <w:bCs w:val="0"/>
                <w:sz w:val="21"/>
                <w:szCs w:val="24"/>
                <w:vertAlign w:val="baseline"/>
                <w:lang w:val="en-US" w:eastAsia="zh-CN"/>
              </w:rPr>
              <w:t>38.92</w:t>
            </w:r>
          </w:p>
        </w:tc>
      </w:tr>
    </w:tbl>
    <w:p w14:paraId="74172A92">
      <w:pPr>
        <w:jc w:val="both"/>
        <w:rPr>
          <w:rFonts w:hint="default"/>
          <w:b/>
          <w:bCs/>
          <w:lang w:val="en-US" w:eastAsia="zh-CN"/>
        </w:rPr>
      </w:pPr>
      <w:r>
        <w:rPr>
          <w:rFonts w:hint="eastAsia"/>
          <w:b/>
          <w:bCs/>
          <w:lang w:val="en-US" w:eastAsia="zh-CN"/>
        </w:rPr>
        <w:t>一、技术参数</w:t>
      </w:r>
    </w:p>
    <w:tbl>
      <w:tblPr>
        <w:tblStyle w:val="2"/>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76"/>
        <w:gridCol w:w="7644"/>
      </w:tblGrid>
      <w:tr w14:paraId="4F5D7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DCC9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4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08FE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招标要求</w:t>
            </w:r>
          </w:p>
        </w:tc>
      </w:tr>
      <w:tr w14:paraId="1F04F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A9F3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w:t>
            </w:r>
          </w:p>
        </w:tc>
        <w:tc>
          <w:tcPr>
            <w:tcW w:w="4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7C3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技术要求</w:t>
            </w:r>
          </w:p>
        </w:tc>
      </w:tr>
      <w:tr w14:paraId="01E71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31A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（一）</w:t>
            </w:r>
          </w:p>
        </w:tc>
        <w:tc>
          <w:tcPr>
            <w:tcW w:w="4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735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尿液有形成分分析模块</w:t>
            </w:r>
          </w:p>
        </w:tc>
      </w:tr>
      <w:tr w14:paraId="5E8B12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8"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F4975">
            <w:pPr>
              <w:keepNext w:val="0"/>
              <w:keepLines w:val="0"/>
              <w:widowControl/>
              <w:suppressLineNumbers w:val="0"/>
              <w:jc w:val="center"/>
              <w:textAlignment w:val="center"/>
              <w:rPr>
                <w:rFonts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5439DA">
            <w:pPr>
              <w:keepNext w:val="0"/>
              <w:keepLines w:val="0"/>
              <w:widowControl/>
              <w:suppressLineNumbers w:val="0"/>
              <w:jc w:val="left"/>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检测原理：显微镜数字成像+图像处理</w:t>
            </w:r>
          </w:p>
        </w:tc>
      </w:tr>
      <w:tr w14:paraId="0A161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0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E9A48">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2</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56D81">
            <w:pPr>
              <w:keepNext w:val="0"/>
              <w:keepLines w:val="0"/>
              <w:widowControl/>
              <w:suppressLineNumbers w:val="0"/>
              <w:jc w:val="left"/>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检验项目：1、理学：可自动检测电导率、渗透压，可接收和输入颜色、浊度、比重等。2、干化学：可与尿液干化学分析仪器联机检测或为一体机，接收并报告干化学测试结果。3.形态学：对尿中所有有形成分标准化分类及定量计数；红细胞形态学（红细胞位相）自动分析，可显示并打印分析所得的曲线图和散点图。</w:t>
            </w:r>
          </w:p>
        </w:tc>
      </w:tr>
      <w:tr w14:paraId="1757DD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46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07F73D">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3</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8A6E8">
            <w:pPr>
              <w:keepNext w:val="0"/>
              <w:keepLines w:val="0"/>
              <w:widowControl/>
              <w:suppressLineNumbers w:val="0"/>
              <w:jc w:val="left"/>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核心技术：</w:t>
            </w:r>
          </w:p>
        </w:tc>
      </w:tr>
      <w:tr w14:paraId="424F9C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4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5F79B">
            <w:pPr>
              <w:jc w:val="center"/>
              <w:rPr>
                <w:rFonts w:hint="eastAsia" w:ascii="新宋体" w:hAnsi="新宋体" w:eastAsia="新宋体" w:cs="新宋体"/>
                <w:i w:val="0"/>
                <w:iCs w:val="0"/>
                <w:color w:val="000000"/>
                <w:sz w:val="21"/>
                <w:szCs w:val="21"/>
                <w:u w:val="none"/>
              </w:rPr>
            </w:pP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9DC7E6">
            <w:pPr>
              <w:keepNext w:val="0"/>
              <w:keepLines w:val="0"/>
              <w:widowControl/>
              <w:suppressLineNumbers w:val="0"/>
              <w:jc w:val="left"/>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1、阴性过筛技术：低倍镜下对标本进行全视野扫描，判定尿液标本的阴阳性，进行快速阴性过筛，提高检测效率。</w:t>
            </w:r>
          </w:p>
        </w:tc>
      </w:tr>
      <w:tr w14:paraId="0946AB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6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C46EF">
            <w:pPr>
              <w:jc w:val="center"/>
              <w:rPr>
                <w:rFonts w:hint="eastAsia" w:ascii="新宋体" w:hAnsi="新宋体" w:eastAsia="新宋体" w:cs="新宋体"/>
                <w:i w:val="0"/>
                <w:iCs w:val="0"/>
                <w:color w:val="000000"/>
                <w:sz w:val="21"/>
                <w:szCs w:val="21"/>
                <w:u w:val="none"/>
              </w:rPr>
            </w:pP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6903D">
            <w:pPr>
              <w:keepNext w:val="0"/>
              <w:keepLines w:val="0"/>
              <w:widowControl/>
              <w:suppressLineNumbers w:val="0"/>
              <w:jc w:val="left"/>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2、定位跟踪技术：模拟人工镜检，低倍镜下对大目标（上皮细胞、管型等）分类计数，对小目标（红细胞、白细胞、结晶等）定位，转高倍镜后，对定位小目标自动跟踪放大，对细微结构进行鉴别分类。</w:t>
            </w:r>
          </w:p>
        </w:tc>
      </w:tr>
      <w:tr w14:paraId="0FD03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F4305">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4</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D50F6">
            <w:pPr>
              <w:keepNext w:val="0"/>
              <w:keepLines w:val="0"/>
              <w:widowControl/>
              <w:suppressLineNumbers w:val="0"/>
              <w:jc w:val="left"/>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标本取样：可支持“一次性使用尿液采集器”进行样本采集，避免开盖产生气溶胶造成的人员感染，保证生物安全性。</w:t>
            </w:r>
          </w:p>
        </w:tc>
      </w:tr>
      <w:tr w14:paraId="1B175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5BC07">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5</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9E5C8">
            <w:pPr>
              <w:keepNext w:val="0"/>
              <w:keepLines w:val="0"/>
              <w:widowControl/>
              <w:suppressLineNumbers w:val="0"/>
              <w:jc w:val="left"/>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标本处理：支持非离心、离心或稀释的尿液样本进行直接上机检测，系统根据标本类型出具结果。</w:t>
            </w:r>
          </w:p>
        </w:tc>
      </w:tr>
      <w:tr w14:paraId="42E12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31FC4">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6</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4FDCD">
            <w:pPr>
              <w:keepNext w:val="0"/>
              <w:keepLines w:val="0"/>
              <w:widowControl/>
              <w:suppressLineNumbers w:val="0"/>
              <w:jc w:val="left"/>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开机自检：仪器开机自检，可识别并报告运行错误。</w:t>
            </w:r>
          </w:p>
        </w:tc>
      </w:tr>
      <w:tr w14:paraId="769DC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04693">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7</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3D353">
            <w:pPr>
              <w:keepNext w:val="0"/>
              <w:keepLines w:val="0"/>
              <w:widowControl/>
              <w:suppressLineNumbers w:val="0"/>
              <w:jc w:val="left"/>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急诊功能：独立急诊位，优先检测急诊标本。</w:t>
            </w:r>
          </w:p>
        </w:tc>
      </w:tr>
      <w:tr w14:paraId="0509AB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22963">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8</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341A1">
            <w:pPr>
              <w:keepNext w:val="0"/>
              <w:keepLines w:val="0"/>
              <w:widowControl/>
              <w:suppressLineNumbers w:val="0"/>
              <w:jc w:val="left"/>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送样装置：轨道式送样，可批量处理（一次加载）60个样本。</w:t>
            </w:r>
          </w:p>
        </w:tc>
      </w:tr>
      <w:tr w14:paraId="3500A4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71665">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9</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F1BD3">
            <w:pPr>
              <w:keepNext w:val="0"/>
              <w:keepLines w:val="0"/>
              <w:widowControl/>
              <w:suppressLineNumbers w:val="0"/>
              <w:jc w:val="left"/>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条码扫描功能：可支持条码仪扫描，自动读取试管上的条形码，并保存到数据库。</w:t>
            </w:r>
          </w:p>
        </w:tc>
      </w:tr>
      <w:tr w14:paraId="69F491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282F3">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10</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92211">
            <w:pPr>
              <w:keepNext w:val="0"/>
              <w:keepLines w:val="0"/>
              <w:widowControl/>
              <w:suppressLineNumbers w:val="0"/>
              <w:jc w:val="left"/>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审核功能：同时提供“全视野图和分割图”两种审核模式。</w:t>
            </w:r>
          </w:p>
        </w:tc>
      </w:tr>
      <w:tr w14:paraId="01C73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63033">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11</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9A5B9">
            <w:pPr>
              <w:keepNext w:val="0"/>
              <w:keepLines w:val="0"/>
              <w:widowControl/>
              <w:suppressLineNumbers w:val="0"/>
              <w:jc w:val="left"/>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结果识别：基于海量数据库不断训练，细胞自动识别准确率高于95%。</w:t>
            </w:r>
          </w:p>
        </w:tc>
      </w:tr>
      <w:tr w14:paraId="35331B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2801D">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12</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96109">
            <w:pPr>
              <w:keepNext w:val="0"/>
              <w:keepLines w:val="0"/>
              <w:widowControl/>
              <w:suppressLineNumbers w:val="0"/>
              <w:jc w:val="left"/>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报告方式：可选择国际通用定量单位报告或半定量、定性方式报告，提供实景图及红细胞形态学分析图，图文并茂。</w:t>
            </w:r>
          </w:p>
        </w:tc>
      </w:tr>
      <w:tr w14:paraId="60731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1912EC">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13</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65E440">
            <w:pPr>
              <w:keepNext w:val="0"/>
              <w:keepLines w:val="0"/>
              <w:widowControl/>
              <w:suppressLineNumbers w:val="0"/>
              <w:jc w:val="left"/>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细胞图库：具备典型细胞图库，指导检验人员审核与发放检验报告。</w:t>
            </w:r>
          </w:p>
        </w:tc>
      </w:tr>
      <w:tr w14:paraId="7D50F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8C730">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14</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C35EF">
            <w:pPr>
              <w:keepNext w:val="0"/>
              <w:keepLines w:val="0"/>
              <w:widowControl/>
              <w:suppressLineNumbers w:val="0"/>
              <w:jc w:val="left"/>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数据存储量：≥50万个</w:t>
            </w:r>
          </w:p>
        </w:tc>
      </w:tr>
      <w:tr w14:paraId="2BA24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47E16">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★15</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CEF1C">
            <w:pPr>
              <w:keepNext w:val="0"/>
              <w:keepLines w:val="0"/>
              <w:widowControl/>
              <w:suppressLineNumbers w:val="0"/>
              <w:jc w:val="left"/>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正常人群参考值：具备由多家权威医院通过大量实验及统计分析发布的正常人群参考值，判别标本阴阳性有据可依，保证结果的准确性。</w:t>
            </w:r>
            <w:r>
              <w:rPr>
                <w:rStyle w:val="5"/>
                <w:lang w:val="en-US" w:eastAsia="zh-CN" w:bidi="ar"/>
              </w:rPr>
              <w:t>（提供相关证明佐证）</w:t>
            </w:r>
          </w:p>
        </w:tc>
      </w:tr>
      <w:tr w14:paraId="2CF0A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1E1C1">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16</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AAA6F">
            <w:pPr>
              <w:keepNext w:val="0"/>
              <w:keepLines w:val="0"/>
              <w:widowControl/>
              <w:suppressLineNumbers w:val="0"/>
              <w:jc w:val="left"/>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检测速度：≥200个/h，并发出综合报告。</w:t>
            </w:r>
          </w:p>
        </w:tc>
      </w:tr>
      <w:tr w14:paraId="58919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16DBC">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★17</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5002D">
            <w:pPr>
              <w:keepNext w:val="0"/>
              <w:keepLines w:val="0"/>
              <w:widowControl/>
              <w:suppressLineNumbers w:val="0"/>
              <w:jc w:val="left"/>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试</w:t>
            </w:r>
            <w:r>
              <w:rPr>
                <w:rStyle w:val="5"/>
                <w:lang w:val="en-US" w:eastAsia="zh-CN" w:bidi="ar"/>
              </w:rPr>
              <w:t>剂耗材：均采用原厂生产试剂耗材。试剂种类≤3种，除清洗液、缓冲液、试纸条外无需特殊液体试剂（如：染液、鞘液、定焦液、一次性计数板等）参与（提供相关证明佐证）</w:t>
            </w:r>
          </w:p>
        </w:tc>
      </w:tr>
      <w:tr w14:paraId="1BC2A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798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w:t>
            </w:r>
          </w:p>
        </w:tc>
        <w:tc>
          <w:tcPr>
            <w:tcW w:w="4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CA5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尿液干化学分析模块</w:t>
            </w:r>
          </w:p>
        </w:tc>
      </w:tr>
      <w:tr w14:paraId="425B9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A892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E24A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检测原理：光电比色法；</w:t>
            </w:r>
          </w:p>
        </w:tc>
      </w:tr>
      <w:tr w14:paraId="1CAB6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59"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AEA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785E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Style w:val="5"/>
                <w:rFonts w:hint="eastAsia" w:ascii="宋体" w:hAnsi="宋体" w:eastAsia="宋体" w:cs="宋体"/>
                <w:lang w:val="en-US" w:eastAsia="zh-CN" w:bidi="ar"/>
              </w:rPr>
              <w:t>检测项目项目：潜血（BLD）、白细胞（LEU）、比重（SG）、pH、葡萄糖（GLU）、蛋白质（PRO）、亚硝酸盐（NIT）、酮体（KET）、尿胆原（URO）、胆红素（BIL）、抗坏血酸（VC）、微量白蛋白（mALB）、肌酐（CR）、钙离子（Ca），可报告尿微量白蛋白/肌酐（ACR）</w:t>
            </w:r>
          </w:p>
        </w:tc>
      </w:tr>
      <w:tr w14:paraId="62B79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A7B53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12553">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适用试纸条类型：11、12、14项</w:t>
            </w:r>
          </w:p>
        </w:tc>
      </w:tr>
      <w:tr w14:paraId="0F1A0D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6B34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95917">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标本处理：标本直接上机检测。</w:t>
            </w:r>
          </w:p>
        </w:tc>
      </w:tr>
      <w:tr w14:paraId="09740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AC0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279D2">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开机自检：仪器开机自检，可识别并报告运行错误。</w:t>
            </w:r>
          </w:p>
        </w:tc>
      </w:tr>
      <w:tr w14:paraId="511D5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F11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6CBC61">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急诊功能：独立急诊位，优先检测急诊标本。</w:t>
            </w:r>
          </w:p>
        </w:tc>
      </w:tr>
      <w:tr w14:paraId="5FFFA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E1B1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6B046">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试纸仓容量：≥300根，有防止尿条氧化装置。</w:t>
            </w:r>
          </w:p>
        </w:tc>
      </w:tr>
      <w:tr w14:paraId="1E69E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68D7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C939C">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质控功能：具备原厂配套的通过CFDA认证的阴、阳性质控品，具有质控定值录入、质控测定和质控查询统计功能。</w:t>
            </w:r>
          </w:p>
        </w:tc>
      </w:tr>
      <w:tr w14:paraId="55F34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4FA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DC045">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结果判读：光电比色，通过颜色与反射率值确定并输出定性（或半定量）的结果。</w:t>
            </w:r>
          </w:p>
        </w:tc>
      </w:tr>
      <w:tr w14:paraId="1AF549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4C7C54">
            <w:pPr>
              <w:keepNext w:val="0"/>
              <w:keepLines w:val="0"/>
              <w:widowControl/>
              <w:suppressLineNumbers w:val="0"/>
              <w:jc w:val="center"/>
              <w:textAlignment w:val="center"/>
              <w:rPr>
                <w:rFonts w:hint="eastAsia" w:ascii="新宋体" w:hAnsi="新宋体" w:eastAsia="新宋体" w:cs="新宋体"/>
                <w:i w:val="0"/>
                <w:iCs w:val="0"/>
                <w:color w:val="000000"/>
                <w:sz w:val="21"/>
                <w:szCs w:val="21"/>
                <w:u w:val="none"/>
              </w:rPr>
            </w:pPr>
            <w:r>
              <w:rPr>
                <w:rFonts w:hint="eastAsia" w:ascii="新宋体" w:hAnsi="新宋体" w:eastAsia="新宋体" w:cs="新宋体"/>
                <w:i w:val="0"/>
                <w:iCs w:val="0"/>
                <w:color w:val="000000"/>
                <w:kern w:val="0"/>
                <w:sz w:val="21"/>
                <w:szCs w:val="21"/>
                <w:u w:val="none"/>
                <w:lang w:val="en-US" w:eastAsia="zh-CN" w:bidi="ar"/>
              </w:rPr>
              <w:t>★10</w:t>
            </w:r>
          </w:p>
        </w:tc>
        <w:tc>
          <w:tcPr>
            <w:tcW w:w="45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97AE9">
            <w:pPr>
              <w:keepNext w:val="0"/>
              <w:keepLines w:val="0"/>
              <w:widowControl/>
              <w:suppressLineNumbers w:val="0"/>
              <w:jc w:val="left"/>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结果溯源：可提供反应后的试纸条图像，方便人工审核和溯源。（提供相关证明佐证）</w:t>
            </w:r>
          </w:p>
        </w:tc>
      </w:tr>
      <w:tr w14:paraId="77C9BF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7BA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4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85EB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配置要求</w:t>
            </w:r>
          </w:p>
        </w:tc>
      </w:tr>
      <w:tr w14:paraId="00049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5DD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4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B432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主机（干化学与有形成分联机或一体机） 1台</w:t>
            </w:r>
          </w:p>
        </w:tc>
      </w:tr>
      <w:tr w14:paraId="77B98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DB8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4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633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工作站 1个</w:t>
            </w:r>
          </w:p>
        </w:tc>
      </w:tr>
      <w:tr w14:paraId="0131E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6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B82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45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84A2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负责与医院检验系统连接</w:t>
            </w:r>
          </w:p>
        </w:tc>
      </w:tr>
    </w:tbl>
    <w:p w14:paraId="6C614BF6">
      <w:pPr>
        <w:jc w:val="center"/>
        <w:rPr>
          <w:rFonts w:hint="default"/>
          <w:lang w:val="en-US" w:eastAsia="zh-CN"/>
        </w:rPr>
      </w:pPr>
    </w:p>
    <w:p w14:paraId="65281956">
      <w:pPr>
        <w:numPr>
          <w:ilvl w:val="0"/>
          <w:numId w:val="0"/>
        </w:numPr>
        <w:rPr>
          <w:rFonts w:hint="eastAsia" w:ascii="宋体" w:hAnsi="宋体" w:eastAsia="宋体" w:cs="宋体"/>
          <w:b w:val="0"/>
          <w:bCs w:val="0"/>
          <w:sz w:val="21"/>
          <w:szCs w:val="21"/>
          <w:highlight w:val="none"/>
        </w:rPr>
      </w:pPr>
      <w:r>
        <w:rPr>
          <w:rFonts w:hint="eastAsia" w:ascii="宋体" w:hAnsi="宋体" w:eastAsia="宋体" w:cs="宋体"/>
          <w:b/>
          <w:bCs/>
          <w:highlight w:val="none"/>
          <w:lang w:val="en-US" w:eastAsia="zh-CN"/>
        </w:rPr>
        <w:t>商务要求</w:t>
      </w:r>
    </w:p>
    <w:p w14:paraId="720A069D">
      <w:pPr>
        <w:widowControl/>
        <w:numPr>
          <w:ilvl w:val="0"/>
          <w:numId w:val="1"/>
        </w:numPr>
        <w:autoSpaceDE w:val="0"/>
        <w:autoSpaceDN w:val="0"/>
        <w:spacing w:line="360" w:lineRule="auto"/>
        <w:textAlignment w:val="bottom"/>
        <w:rPr>
          <w:rFonts w:hint="eastAsia" w:ascii="宋体" w:hAnsi="宋体" w:eastAsia="宋体" w:cs="宋体"/>
          <w:sz w:val="21"/>
          <w:szCs w:val="21"/>
          <w:highlight w:val="none"/>
        </w:rPr>
      </w:pPr>
      <w:r>
        <w:rPr>
          <w:rFonts w:hint="eastAsia" w:ascii="宋体" w:hAnsi="宋体" w:eastAsia="宋体" w:cs="宋体"/>
          <w:sz w:val="21"/>
          <w:szCs w:val="21"/>
          <w:highlight w:val="none"/>
        </w:rPr>
        <w:t>质保期</w:t>
      </w:r>
    </w:p>
    <w:p w14:paraId="25F03E88">
      <w:pPr>
        <w:widowControl/>
        <w:numPr>
          <w:ilvl w:val="0"/>
          <w:numId w:val="0"/>
        </w:numPr>
        <w:autoSpaceDE w:val="0"/>
        <w:autoSpaceDN w:val="0"/>
        <w:spacing w:line="360" w:lineRule="auto"/>
        <w:ind w:leftChars="0"/>
        <w:textAlignment w:val="bottom"/>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1.1.</w:t>
      </w:r>
      <w:r>
        <w:rPr>
          <w:rFonts w:hint="eastAsia" w:ascii="宋体" w:hAnsi="宋体" w:eastAsia="宋体" w:cs="宋体"/>
          <w:sz w:val="21"/>
          <w:szCs w:val="21"/>
          <w:highlight w:val="none"/>
        </w:rPr>
        <w:t>▲设备验收合格后，整机免费原厂保修</w:t>
      </w:r>
      <w:r>
        <w:rPr>
          <w:rFonts w:hint="eastAsia" w:ascii="宋体" w:hAnsi="宋体" w:eastAsia="宋体" w:cs="宋体"/>
          <w:sz w:val="21"/>
          <w:szCs w:val="21"/>
          <w:highlight w:val="none"/>
          <w:lang w:val="en-US" w:eastAsia="zh-CN"/>
        </w:rPr>
        <w:t>5年</w:t>
      </w:r>
      <w:r>
        <w:rPr>
          <w:rFonts w:hint="eastAsia" w:ascii="宋体" w:hAnsi="宋体" w:eastAsia="宋体" w:cs="宋体"/>
          <w:sz w:val="21"/>
          <w:szCs w:val="21"/>
          <w:highlight w:val="none"/>
        </w:rPr>
        <w:t>。</w:t>
      </w:r>
    </w:p>
    <w:p w14:paraId="506170E3">
      <w:pPr>
        <w:widowControl/>
        <w:numPr>
          <w:ilvl w:val="0"/>
          <w:numId w:val="0"/>
        </w:numPr>
        <w:autoSpaceDE w:val="0"/>
        <w:autoSpaceDN w:val="0"/>
        <w:spacing w:line="360" w:lineRule="auto"/>
        <w:ind w:leftChars="0"/>
        <w:textAlignment w:val="bottom"/>
        <w:rPr>
          <w:rFonts w:hint="eastAsia" w:ascii="宋体" w:hAnsi="宋体" w:eastAsia="宋体" w:cs="宋体"/>
          <w:sz w:val="21"/>
          <w:szCs w:val="21"/>
        </w:rPr>
      </w:pPr>
      <w:r>
        <w:rPr>
          <w:rFonts w:hint="eastAsia" w:ascii="宋体" w:hAnsi="宋体" w:eastAsia="宋体" w:cs="宋体"/>
          <w:sz w:val="21"/>
          <w:szCs w:val="21"/>
          <w:lang w:val="en-US" w:eastAsia="zh-CN"/>
        </w:rPr>
        <w:t>1.2.</w:t>
      </w:r>
      <w:r>
        <w:rPr>
          <w:rFonts w:hint="eastAsia" w:ascii="宋体" w:hAnsi="宋体" w:eastAsia="宋体" w:cs="宋体"/>
          <w:sz w:val="21"/>
          <w:szCs w:val="21"/>
        </w:rPr>
        <w:t>质保期内因设备本身缺陷造成各种故障的，由投标人免费提供技术服务和维修。</w:t>
      </w:r>
    </w:p>
    <w:p w14:paraId="1546DD2C">
      <w:pPr>
        <w:widowControl/>
        <w:numPr>
          <w:ilvl w:val="0"/>
          <w:numId w:val="1"/>
        </w:numPr>
        <w:autoSpaceDE w:val="0"/>
        <w:autoSpaceDN w:val="0"/>
        <w:spacing w:line="360" w:lineRule="auto"/>
        <w:textAlignment w:val="bottom"/>
        <w:rPr>
          <w:rFonts w:hint="eastAsia" w:ascii="宋体" w:hAnsi="宋体" w:eastAsia="宋体" w:cs="宋体"/>
          <w:sz w:val="21"/>
          <w:szCs w:val="21"/>
        </w:rPr>
      </w:pPr>
      <w:r>
        <w:rPr>
          <w:rFonts w:hint="eastAsia" w:ascii="宋体" w:hAnsi="宋体" w:eastAsia="宋体" w:cs="宋体"/>
          <w:sz w:val="21"/>
          <w:szCs w:val="21"/>
        </w:rPr>
        <w:t>售后服务</w:t>
      </w:r>
    </w:p>
    <w:p w14:paraId="05EFED09">
      <w:pPr>
        <w:widowControl/>
        <w:numPr>
          <w:ilvl w:val="1"/>
          <w:numId w:val="0"/>
        </w:numPr>
        <w:autoSpaceDE w:val="0"/>
        <w:autoSpaceDN w:val="0"/>
        <w:spacing w:line="360" w:lineRule="auto"/>
        <w:ind w:left="360" w:leftChars="0" w:hanging="360" w:firstLineChars="0"/>
        <w:textAlignment w:val="bottom"/>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2.1.在设备整个使用期内，投标人应确保设备的正常使用。在接到采购人维修要求后的响应时间应小于1小时，并在48小时内派维修人员到达采购人现场实施维修（包括节假日）。如需更换零配件，中标人需在72小时内将零配件送至维修现场。零配件在该设备停产后仍需保证十年的供应。</w:t>
      </w:r>
    </w:p>
    <w:p w14:paraId="4DAC3A35">
      <w:pPr>
        <w:widowControl/>
        <w:numPr>
          <w:ilvl w:val="1"/>
          <w:numId w:val="0"/>
        </w:numPr>
        <w:autoSpaceDE w:val="0"/>
        <w:autoSpaceDN w:val="0"/>
        <w:spacing w:line="360" w:lineRule="auto"/>
        <w:ind w:left="360" w:leftChars="0" w:hanging="360" w:firstLineChars="0"/>
        <w:textAlignment w:val="bottom"/>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2.2.投标人应在投标文件中提供常用配件、消耗品或易耗品价格清单。</w:t>
      </w:r>
    </w:p>
    <w:p w14:paraId="2633B6FE">
      <w:pPr>
        <w:widowControl/>
        <w:numPr>
          <w:ilvl w:val="1"/>
          <w:numId w:val="0"/>
        </w:numPr>
        <w:autoSpaceDE w:val="0"/>
        <w:autoSpaceDN w:val="0"/>
        <w:spacing w:line="360" w:lineRule="auto"/>
        <w:ind w:left="360" w:leftChars="0" w:hanging="360" w:firstLineChars="0"/>
        <w:textAlignment w:val="bottom"/>
        <w:rPr>
          <w:rFonts w:hint="eastAsia" w:ascii="宋体" w:hAnsi="宋体" w:eastAsia="宋体" w:cs="宋体"/>
          <w:sz w:val="21"/>
          <w:szCs w:val="21"/>
        </w:rPr>
      </w:pPr>
      <w:r>
        <w:rPr>
          <w:rFonts w:hint="eastAsia" w:ascii="宋体" w:hAnsi="宋体" w:eastAsia="宋体" w:cs="宋体"/>
          <w:sz w:val="21"/>
          <w:szCs w:val="21"/>
          <w:lang w:val="en-US" w:eastAsia="zh-CN"/>
        </w:rPr>
        <w:t>2.3.</w:t>
      </w:r>
      <w:r>
        <w:rPr>
          <w:rFonts w:hint="eastAsia" w:ascii="宋体" w:hAnsi="宋体" w:eastAsia="宋体" w:cs="宋体"/>
          <w:sz w:val="21"/>
          <w:szCs w:val="21"/>
        </w:rPr>
        <w:t>投标人应在投标文件中应详细说明其服务计划及收费标准，提供维修点的分布情况。免费质保期外，只收取配件或易损件优惠费用，且先维修后付款。投标设备的制造商或全国总代理应承诺，免费质保期过后，投标设备每年整机保修费用不高于整机价格的8%，并单独报价（不含在投标总价中）。承诺设备使用期内采购，不高于此价格。投标时出具承诺书。（投标文件中详细说明买保修合同的方式及相应的价格、按次计费的价格）。</w:t>
      </w:r>
    </w:p>
    <w:p w14:paraId="7D3F091F">
      <w:pPr>
        <w:widowControl/>
        <w:numPr>
          <w:ilvl w:val="1"/>
          <w:numId w:val="0"/>
        </w:numPr>
        <w:autoSpaceDE w:val="0"/>
        <w:autoSpaceDN w:val="0"/>
        <w:spacing w:line="360" w:lineRule="auto"/>
        <w:ind w:left="360" w:leftChars="0" w:hanging="360" w:firstLineChars="0"/>
        <w:textAlignment w:val="bottom"/>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2.4.投标人应在投标文件中提供售后服务方案，如售后服务机构备品备件储备，售后服务机构技术服务人员情况。</w:t>
      </w:r>
    </w:p>
    <w:p w14:paraId="02313AD8">
      <w:pPr>
        <w:widowControl/>
        <w:numPr>
          <w:ilvl w:val="0"/>
          <w:numId w:val="1"/>
        </w:numPr>
        <w:autoSpaceDE w:val="0"/>
        <w:autoSpaceDN w:val="0"/>
        <w:spacing w:line="360" w:lineRule="auto"/>
        <w:textAlignment w:val="bottom"/>
        <w:rPr>
          <w:rFonts w:hint="eastAsia" w:ascii="宋体" w:hAnsi="宋体" w:eastAsia="宋体" w:cs="宋体"/>
          <w:sz w:val="21"/>
          <w:szCs w:val="21"/>
          <w:highlight w:val="none"/>
        </w:rPr>
      </w:pPr>
      <w:r>
        <w:rPr>
          <w:rFonts w:hint="eastAsia" w:ascii="宋体" w:hAnsi="宋体" w:eastAsia="宋体" w:cs="宋体"/>
          <w:sz w:val="21"/>
          <w:szCs w:val="21"/>
          <w:highlight w:val="none"/>
        </w:rPr>
        <w:t>技术支持</w:t>
      </w:r>
    </w:p>
    <w:p w14:paraId="67D036C6">
      <w:pPr>
        <w:widowControl/>
        <w:numPr>
          <w:ilvl w:val="1"/>
          <w:numId w:val="0"/>
        </w:numPr>
        <w:autoSpaceDE w:val="0"/>
        <w:autoSpaceDN w:val="0"/>
        <w:spacing w:line="360" w:lineRule="auto"/>
        <w:ind w:left="360" w:leftChars="0" w:hanging="360" w:firstLineChars="0"/>
        <w:textAlignment w:val="bottom"/>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3.1中标人应及时免费提供合同货物的技术支持服务、软件的升级，免费提供合同货物新功能和临床应用有关的资料。</w:t>
      </w:r>
    </w:p>
    <w:p w14:paraId="0A3F34BD">
      <w:pPr>
        <w:widowControl/>
        <w:numPr>
          <w:ilvl w:val="0"/>
          <w:numId w:val="1"/>
        </w:numPr>
        <w:autoSpaceDE w:val="0"/>
        <w:autoSpaceDN w:val="0"/>
        <w:spacing w:line="360" w:lineRule="auto"/>
        <w:textAlignment w:val="bottom"/>
        <w:rPr>
          <w:rFonts w:hint="eastAsia" w:ascii="宋体" w:hAnsi="宋体" w:eastAsia="宋体" w:cs="宋体"/>
          <w:sz w:val="21"/>
          <w:szCs w:val="21"/>
          <w:highlight w:val="none"/>
        </w:rPr>
      </w:pPr>
      <w:r>
        <w:rPr>
          <w:rFonts w:hint="eastAsia" w:ascii="宋体" w:hAnsi="宋体" w:eastAsia="宋体" w:cs="宋体"/>
          <w:sz w:val="21"/>
          <w:szCs w:val="21"/>
          <w:highlight w:val="none"/>
        </w:rPr>
        <w:t>培训</w:t>
      </w:r>
    </w:p>
    <w:p w14:paraId="4B15105A">
      <w:pPr>
        <w:widowControl/>
        <w:numPr>
          <w:ilvl w:val="1"/>
          <w:numId w:val="0"/>
        </w:numPr>
        <w:autoSpaceDE w:val="0"/>
        <w:autoSpaceDN w:val="0"/>
        <w:spacing w:line="360" w:lineRule="auto"/>
        <w:ind w:left="360" w:leftChars="0" w:hanging="360" w:firstLineChars="0"/>
        <w:textAlignment w:val="bottom"/>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4.1.投标人应对采购人的维修工程师提供专业培训，培训内容包括系统原理，各部件功能及原理，定期维护保养，消耗品更换，常见故障排除等，使其能对设备进行日常的维护保养并能对一般故障进行维修。</w:t>
      </w:r>
    </w:p>
    <w:p w14:paraId="36D00EAB">
      <w:pPr>
        <w:widowControl/>
        <w:numPr>
          <w:ilvl w:val="1"/>
          <w:numId w:val="0"/>
        </w:numPr>
        <w:autoSpaceDE w:val="0"/>
        <w:autoSpaceDN w:val="0"/>
        <w:spacing w:line="360" w:lineRule="auto"/>
        <w:ind w:left="360" w:leftChars="0" w:hanging="360" w:firstLineChars="0"/>
        <w:textAlignment w:val="bottom"/>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4.2.投标人应对采购人的操作人员进行操作培训，培训内容应涵盖开关机，日常操作，消耗品更换，定期使用保养等，使其能对设备进行熟练的操作。</w:t>
      </w:r>
    </w:p>
    <w:p w14:paraId="039A2F7F">
      <w:pPr>
        <w:widowControl/>
        <w:numPr>
          <w:ilvl w:val="1"/>
          <w:numId w:val="0"/>
        </w:numPr>
        <w:autoSpaceDE w:val="0"/>
        <w:autoSpaceDN w:val="0"/>
        <w:spacing w:line="360" w:lineRule="auto"/>
        <w:ind w:left="360" w:leftChars="0" w:hanging="360" w:firstLineChars="0"/>
        <w:textAlignment w:val="bottom"/>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4.3.上述二种培训的培训方式、地点、人员及费用（包含在投标总价中）投标人应在投标文件中详细说明。</w:t>
      </w:r>
    </w:p>
    <w:p w14:paraId="25C9B87F">
      <w:pPr>
        <w:widowControl/>
        <w:numPr>
          <w:ilvl w:val="0"/>
          <w:numId w:val="2"/>
        </w:numPr>
        <w:autoSpaceDE w:val="0"/>
        <w:autoSpaceDN w:val="0"/>
        <w:spacing w:line="360" w:lineRule="auto"/>
        <w:textAlignment w:val="bottom"/>
        <w:rPr>
          <w:rFonts w:hint="eastAsia" w:ascii="宋体" w:hAnsi="宋体" w:eastAsia="宋体" w:cs="宋体"/>
          <w:sz w:val="21"/>
          <w:szCs w:val="21"/>
        </w:rPr>
      </w:pPr>
      <w:r>
        <w:rPr>
          <w:rFonts w:hint="eastAsia" w:ascii="宋体" w:hAnsi="宋体" w:eastAsia="宋体" w:cs="宋体"/>
          <w:sz w:val="21"/>
          <w:szCs w:val="21"/>
        </w:rPr>
        <w:t>安装调试</w:t>
      </w:r>
    </w:p>
    <w:p w14:paraId="14502654">
      <w:pPr>
        <w:widowControl/>
        <w:numPr>
          <w:ilvl w:val="1"/>
          <w:numId w:val="0"/>
        </w:numPr>
        <w:autoSpaceDE w:val="0"/>
        <w:autoSpaceDN w:val="0"/>
        <w:spacing w:line="360" w:lineRule="auto"/>
        <w:ind w:left="360" w:leftChars="0" w:hanging="360" w:firstLineChars="0"/>
        <w:textAlignment w:val="bottom"/>
        <w:rPr>
          <w:rFonts w:hint="eastAsia" w:ascii="宋体" w:hAnsi="宋体" w:eastAsia="宋体" w:cs="宋体"/>
          <w:kern w:val="0"/>
          <w:sz w:val="21"/>
          <w:szCs w:val="21"/>
        </w:rPr>
      </w:pPr>
      <w:r>
        <w:rPr>
          <w:rFonts w:hint="eastAsia" w:ascii="宋体" w:hAnsi="宋体" w:eastAsia="宋体" w:cs="宋体"/>
          <w:kern w:val="0"/>
          <w:sz w:val="21"/>
          <w:szCs w:val="21"/>
          <w:lang w:val="en-US" w:eastAsia="zh-CN" w:bidi="ar-SA"/>
        </w:rPr>
        <w:t>5.1.</w:t>
      </w:r>
      <w:r>
        <w:rPr>
          <w:rFonts w:hint="eastAsia" w:ascii="宋体" w:hAnsi="宋体" w:eastAsia="宋体" w:cs="宋体"/>
          <w:sz w:val="21"/>
          <w:szCs w:val="21"/>
        </w:rPr>
        <w:t>安装地点：浙江中医药大学附属第二医院</w:t>
      </w:r>
      <w:r>
        <w:rPr>
          <w:rFonts w:hint="eastAsia" w:ascii="宋体" w:hAnsi="宋体" w:eastAsia="宋体" w:cs="宋体"/>
          <w:kern w:val="0"/>
          <w:sz w:val="21"/>
          <w:szCs w:val="21"/>
        </w:rPr>
        <w:t>指定地点。</w:t>
      </w:r>
    </w:p>
    <w:p w14:paraId="017CFFDD">
      <w:pPr>
        <w:widowControl/>
        <w:numPr>
          <w:ilvl w:val="1"/>
          <w:numId w:val="0"/>
        </w:numPr>
        <w:autoSpaceDE w:val="0"/>
        <w:autoSpaceDN w:val="0"/>
        <w:spacing w:line="360" w:lineRule="auto"/>
        <w:ind w:left="360" w:leftChars="0" w:hanging="360" w:firstLineChars="0"/>
        <w:textAlignment w:val="bottom"/>
        <w:rPr>
          <w:rFonts w:hint="eastAsia" w:ascii="宋体" w:hAnsi="宋体" w:eastAsia="宋体" w:cs="宋体"/>
          <w:sz w:val="21"/>
          <w:szCs w:val="21"/>
        </w:rPr>
      </w:pPr>
      <w:r>
        <w:rPr>
          <w:rFonts w:hint="eastAsia" w:ascii="宋体" w:hAnsi="宋体" w:eastAsia="宋体" w:cs="宋体"/>
          <w:kern w:val="2"/>
          <w:sz w:val="21"/>
          <w:szCs w:val="21"/>
          <w:lang w:val="en-US" w:eastAsia="zh-CN" w:bidi="ar-SA"/>
        </w:rPr>
        <w:t>5.2.</w:t>
      </w:r>
      <w:r>
        <w:rPr>
          <w:rFonts w:hint="eastAsia" w:ascii="宋体" w:hAnsi="宋体" w:eastAsia="宋体" w:cs="宋体"/>
          <w:sz w:val="21"/>
          <w:szCs w:val="21"/>
        </w:rPr>
        <w:t>安装完成时间：投标人在投标文件中写明正常完成安装调试的时间期限，如在规定的时间内由于投标人的原因不能完成安装和调试，投标人应承担由此给采购人造成的损失。</w:t>
      </w:r>
    </w:p>
    <w:p w14:paraId="4FACC173">
      <w:pPr>
        <w:widowControl/>
        <w:numPr>
          <w:ilvl w:val="1"/>
          <w:numId w:val="0"/>
        </w:numPr>
        <w:autoSpaceDE w:val="0"/>
        <w:autoSpaceDN w:val="0"/>
        <w:spacing w:line="360" w:lineRule="auto"/>
        <w:ind w:left="360" w:leftChars="0" w:hanging="360" w:firstLineChars="0"/>
        <w:textAlignment w:val="bottom"/>
        <w:rPr>
          <w:rFonts w:hint="eastAsia" w:ascii="宋体" w:hAnsi="宋体" w:eastAsia="宋体" w:cs="宋体"/>
          <w:sz w:val="21"/>
          <w:szCs w:val="21"/>
        </w:rPr>
      </w:pPr>
      <w:r>
        <w:rPr>
          <w:rFonts w:hint="eastAsia" w:ascii="宋体" w:hAnsi="宋体" w:eastAsia="宋体" w:cs="宋体"/>
          <w:kern w:val="2"/>
          <w:sz w:val="21"/>
          <w:szCs w:val="21"/>
          <w:lang w:val="en-US" w:eastAsia="zh-CN" w:bidi="ar-SA"/>
        </w:rPr>
        <w:t>5.3.</w:t>
      </w:r>
      <w:r>
        <w:rPr>
          <w:rFonts w:hint="eastAsia" w:ascii="宋体" w:hAnsi="宋体" w:eastAsia="宋体" w:cs="宋体"/>
          <w:sz w:val="21"/>
          <w:szCs w:val="21"/>
        </w:rPr>
        <w:t>安装标准：符合我国国家有关技术规范要求和技术标准。</w:t>
      </w:r>
    </w:p>
    <w:p w14:paraId="25F1A441">
      <w:pPr>
        <w:widowControl/>
        <w:numPr>
          <w:ilvl w:val="1"/>
          <w:numId w:val="0"/>
        </w:numPr>
        <w:autoSpaceDE w:val="0"/>
        <w:autoSpaceDN w:val="0"/>
        <w:spacing w:line="360" w:lineRule="auto"/>
        <w:ind w:left="360" w:leftChars="0" w:hanging="360" w:firstLineChars="0"/>
        <w:textAlignment w:val="bottom"/>
        <w:rPr>
          <w:rFonts w:hint="eastAsia" w:ascii="宋体" w:hAnsi="宋体" w:eastAsia="宋体" w:cs="宋体"/>
          <w:sz w:val="21"/>
          <w:szCs w:val="21"/>
        </w:rPr>
      </w:pPr>
      <w:r>
        <w:rPr>
          <w:rFonts w:hint="eastAsia" w:ascii="宋体" w:hAnsi="宋体" w:eastAsia="宋体" w:cs="宋体"/>
          <w:kern w:val="2"/>
          <w:sz w:val="21"/>
          <w:szCs w:val="21"/>
          <w:lang w:val="en-US" w:eastAsia="zh-CN" w:bidi="ar-SA"/>
        </w:rPr>
        <w:t>5.4.</w:t>
      </w:r>
      <w:r>
        <w:rPr>
          <w:rFonts w:hint="eastAsia" w:ascii="宋体" w:hAnsi="宋体" w:eastAsia="宋体" w:cs="宋体"/>
          <w:sz w:val="21"/>
          <w:szCs w:val="21"/>
        </w:rPr>
        <w:t>安装过程中发生的费用由投标人负责。</w:t>
      </w:r>
    </w:p>
    <w:p w14:paraId="5D79F924">
      <w:pPr>
        <w:widowControl/>
        <w:numPr>
          <w:ilvl w:val="1"/>
          <w:numId w:val="0"/>
        </w:numPr>
        <w:autoSpaceDE w:val="0"/>
        <w:autoSpaceDN w:val="0"/>
        <w:spacing w:line="360" w:lineRule="auto"/>
        <w:ind w:left="360" w:leftChars="0" w:hanging="360" w:firstLineChars="0"/>
        <w:textAlignment w:val="bottom"/>
        <w:rPr>
          <w:rFonts w:hint="eastAsia" w:ascii="宋体" w:hAnsi="宋体" w:eastAsia="宋体" w:cs="宋体"/>
          <w:sz w:val="21"/>
          <w:szCs w:val="21"/>
        </w:rPr>
      </w:pPr>
      <w:r>
        <w:rPr>
          <w:rFonts w:hint="eastAsia" w:ascii="宋体" w:hAnsi="宋体" w:eastAsia="宋体" w:cs="宋体"/>
          <w:kern w:val="2"/>
          <w:sz w:val="21"/>
          <w:szCs w:val="21"/>
          <w:lang w:val="en-US" w:eastAsia="zh-CN" w:bidi="ar-SA"/>
        </w:rPr>
        <w:t>5.5.</w:t>
      </w:r>
      <w:r>
        <w:rPr>
          <w:rFonts w:hint="eastAsia" w:ascii="宋体" w:hAnsi="宋体" w:eastAsia="宋体" w:cs="宋体"/>
          <w:sz w:val="21"/>
          <w:szCs w:val="21"/>
        </w:rPr>
        <w:t>投标人应在投标文件中应提供安装调试计划、对安装场地和环境的要求，提供其安装、调试过程中采购人需配合的内容。</w:t>
      </w:r>
    </w:p>
    <w:p w14:paraId="5EC7407A">
      <w:pPr>
        <w:widowControl/>
        <w:numPr>
          <w:ilvl w:val="1"/>
          <w:numId w:val="0"/>
        </w:numPr>
        <w:autoSpaceDE w:val="0"/>
        <w:autoSpaceDN w:val="0"/>
        <w:spacing w:line="360" w:lineRule="auto"/>
        <w:ind w:left="360" w:leftChars="0" w:hanging="360" w:firstLineChars="0"/>
        <w:textAlignment w:val="bottom"/>
        <w:rPr>
          <w:rFonts w:hint="eastAsia" w:ascii="宋体" w:hAnsi="宋体" w:eastAsia="宋体" w:cs="宋体"/>
          <w:sz w:val="21"/>
          <w:szCs w:val="21"/>
        </w:rPr>
      </w:pPr>
      <w:r>
        <w:rPr>
          <w:rFonts w:hint="eastAsia" w:ascii="宋体" w:hAnsi="宋体" w:eastAsia="宋体" w:cs="宋体"/>
          <w:kern w:val="2"/>
          <w:sz w:val="21"/>
          <w:szCs w:val="21"/>
          <w:lang w:val="en-US" w:eastAsia="zh-CN" w:bidi="ar-SA"/>
        </w:rPr>
        <w:t>5.6.</w:t>
      </w:r>
      <w:r>
        <w:rPr>
          <w:rFonts w:hint="eastAsia" w:ascii="宋体" w:hAnsi="宋体" w:eastAsia="宋体" w:cs="宋体"/>
          <w:sz w:val="21"/>
          <w:szCs w:val="21"/>
        </w:rPr>
        <w:t>随机资料：提供用户操作手册、维修手册。</w:t>
      </w:r>
    </w:p>
    <w:p w14:paraId="11625067">
      <w:pPr>
        <w:widowControl/>
        <w:numPr>
          <w:ilvl w:val="0"/>
          <w:numId w:val="2"/>
        </w:numPr>
        <w:autoSpaceDE w:val="0"/>
        <w:autoSpaceDN w:val="0"/>
        <w:spacing w:line="360" w:lineRule="auto"/>
        <w:textAlignment w:val="bottom"/>
        <w:rPr>
          <w:rFonts w:hint="eastAsia" w:ascii="宋体" w:hAnsi="宋体" w:eastAsia="宋体" w:cs="宋体"/>
          <w:sz w:val="21"/>
          <w:szCs w:val="21"/>
        </w:rPr>
      </w:pPr>
      <w:r>
        <w:rPr>
          <w:rFonts w:hint="eastAsia" w:ascii="宋体" w:hAnsi="宋体" w:eastAsia="宋体" w:cs="宋体"/>
          <w:sz w:val="21"/>
          <w:szCs w:val="21"/>
        </w:rPr>
        <w:t>验收</w:t>
      </w:r>
    </w:p>
    <w:p w14:paraId="4C70C6F8">
      <w:pPr>
        <w:widowControl/>
        <w:numPr>
          <w:ilvl w:val="1"/>
          <w:numId w:val="0"/>
        </w:numPr>
        <w:autoSpaceDE w:val="0"/>
        <w:autoSpaceDN w:val="0"/>
        <w:spacing w:line="360" w:lineRule="auto"/>
        <w:ind w:left="360" w:leftChars="0" w:hanging="360" w:firstLineChars="0"/>
        <w:textAlignment w:val="bottom"/>
        <w:rPr>
          <w:rFonts w:hint="eastAsia" w:ascii="宋体" w:hAnsi="宋体" w:eastAsia="宋体" w:cs="宋体"/>
          <w:sz w:val="21"/>
          <w:szCs w:val="21"/>
        </w:rPr>
      </w:pPr>
      <w:r>
        <w:rPr>
          <w:rFonts w:hint="eastAsia" w:ascii="宋体" w:hAnsi="宋体" w:eastAsia="宋体" w:cs="宋体"/>
          <w:kern w:val="2"/>
          <w:sz w:val="21"/>
          <w:szCs w:val="21"/>
          <w:lang w:val="en-US" w:eastAsia="zh-CN" w:bidi="ar-SA"/>
        </w:rPr>
        <w:t>6.1.</w:t>
      </w:r>
      <w:r>
        <w:rPr>
          <w:rFonts w:hint="eastAsia" w:ascii="宋体" w:hAnsi="宋体" w:eastAsia="宋体" w:cs="宋体"/>
          <w:sz w:val="21"/>
          <w:szCs w:val="21"/>
        </w:rPr>
        <w:t>中标人应提供符合招标文件和合同要求、采购人需求的设备及提供该设备的有效检验文件，经采购人认可后，与设备性能指标、合同内容一起作为设备验收标准。采购人对设备验收合格后，双方共同签署验收报告。验收中发现设备达不到验收标准或合同规定的性能指标，采购人有权解除合同，并且中标人按照合同约定赔偿由此给采购人造成的损失并承担对应的违约责任。</w:t>
      </w:r>
    </w:p>
    <w:p w14:paraId="52488967">
      <w:pPr>
        <w:widowControl/>
        <w:numPr>
          <w:ilvl w:val="1"/>
          <w:numId w:val="0"/>
        </w:numPr>
        <w:autoSpaceDE w:val="0"/>
        <w:autoSpaceDN w:val="0"/>
        <w:spacing w:line="360" w:lineRule="auto"/>
        <w:ind w:left="360" w:leftChars="0" w:hanging="360" w:firstLineChars="0"/>
        <w:textAlignment w:val="bottom"/>
        <w:rPr>
          <w:rFonts w:hint="eastAsia" w:ascii="宋体" w:hAnsi="宋体" w:eastAsia="宋体" w:cs="宋体"/>
          <w:sz w:val="21"/>
          <w:szCs w:val="21"/>
        </w:rPr>
      </w:pPr>
      <w:r>
        <w:rPr>
          <w:rFonts w:hint="eastAsia" w:ascii="宋体" w:hAnsi="宋体" w:eastAsia="宋体" w:cs="宋体"/>
          <w:kern w:val="2"/>
          <w:sz w:val="21"/>
          <w:szCs w:val="21"/>
          <w:lang w:val="en-US" w:eastAsia="zh-CN" w:bidi="ar-SA"/>
        </w:rPr>
        <w:t>6.2.</w:t>
      </w:r>
      <w:r>
        <w:rPr>
          <w:rFonts w:hint="eastAsia" w:ascii="宋体" w:hAnsi="宋体" w:eastAsia="宋体" w:cs="宋体"/>
          <w:sz w:val="21"/>
          <w:szCs w:val="21"/>
        </w:rPr>
        <w:t>验收过程中所发生的所有费用（含检测、耗材等）由投标人承担，含在投标总价中。</w:t>
      </w:r>
    </w:p>
    <w:p w14:paraId="155BE5C8">
      <w:pPr>
        <w:widowControl/>
        <w:numPr>
          <w:ilvl w:val="0"/>
          <w:numId w:val="2"/>
        </w:numPr>
        <w:autoSpaceDE w:val="0"/>
        <w:autoSpaceDN w:val="0"/>
        <w:spacing w:line="360" w:lineRule="auto"/>
        <w:textAlignment w:val="bottom"/>
        <w:rPr>
          <w:rFonts w:hint="eastAsia" w:ascii="宋体" w:hAnsi="宋体" w:eastAsia="宋体" w:cs="宋体"/>
          <w:sz w:val="21"/>
          <w:szCs w:val="21"/>
        </w:rPr>
      </w:pPr>
      <w:r>
        <w:rPr>
          <w:rFonts w:hint="eastAsia" w:ascii="宋体" w:hAnsi="宋体" w:eastAsia="宋体" w:cs="宋体"/>
          <w:sz w:val="21"/>
          <w:szCs w:val="21"/>
        </w:rPr>
        <w:t>交货</w:t>
      </w:r>
    </w:p>
    <w:p w14:paraId="60EC1FBD">
      <w:pPr>
        <w:widowControl/>
        <w:numPr>
          <w:ilvl w:val="1"/>
          <w:numId w:val="0"/>
        </w:numPr>
        <w:autoSpaceDE w:val="0"/>
        <w:autoSpaceDN w:val="0"/>
        <w:spacing w:line="360" w:lineRule="auto"/>
        <w:ind w:left="360" w:leftChars="0" w:hanging="360" w:firstLineChars="0"/>
        <w:textAlignment w:val="bottom"/>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7.1.交货期：合同签订之日起2个月内交付。</w:t>
      </w:r>
    </w:p>
    <w:p w14:paraId="0FF805E6">
      <w:pPr>
        <w:widowControl/>
        <w:numPr>
          <w:ilvl w:val="1"/>
          <w:numId w:val="0"/>
        </w:numPr>
        <w:autoSpaceDE w:val="0"/>
        <w:autoSpaceDN w:val="0"/>
        <w:spacing w:line="360" w:lineRule="auto"/>
        <w:ind w:left="360" w:leftChars="0" w:hanging="360" w:firstLineChars="0"/>
        <w:textAlignment w:val="bottom"/>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7.2.交货地点：浙江中医药大学附属第二医院指定地点。</w:t>
      </w:r>
    </w:p>
    <w:p w14:paraId="4AD5433E">
      <w:pPr>
        <w:widowControl/>
        <w:numPr>
          <w:ilvl w:val="1"/>
          <w:numId w:val="0"/>
        </w:numPr>
        <w:autoSpaceDE w:val="0"/>
        <w:autoSpaceDN w:val="0"/>
        <w:spacing w:line="360" w:lineRule="auto"/>
        <w:ind w:left="360" w:leftChars="0" w:hanging="360" w:firstLineChars="0"/>
        <w:textAlignment w:val="bottom"/>
        <w:rPr>
          <w:rFonts w:hint="eastAsia" w:ascii="宋体" w:hAnsi="宋体" w:eastAsia="宋体" w:cs="宋体"/>
          <w:kern w:val="2"/>
          <w:sz w:val="21"/>
          <w:szCs w:val="21"/>
          <w:highlight w:val="none"/>
          <w:lang w:val="en-US" w:eastAsia="zh-CN" w:bidi="ar-SA"/>
        </w:rPr>
      </w:pPr>
      <w:r>
        <w:rPr>
          <w:rFonts w:hint="eastAsia" w:ascii="宋体" w:hAnsi="宋体" w:eastAsia="宋体" w:cs="宋体"/>
          <w:kern w:val="2"/>
          <w:sz w:val="21"/>
          <w:szCs w:val="21"/>
          <w:highlight w:val="none"/>
          <w:lang w:val="en-US" w:eastAsia="zh-CN" w:bidi="ar-SA"/>
        </w:rPr>
        <w:t>7.3进口品牌（如有）提供生产日期一年之内的产品；国产品牌提供生产日期六个月内的产品。</w:t>
      </w:r>
    </w:p>
    <w:p w14:paraId="7E77E13F">
      <w:pPr>
        <w:numPr>
          <w:ilvl w:val="0"/>
          <w:numId w:val="3"/>
        </w:num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报价方式</w:t>
      </w:r>
    </w:p>
    <w:p w14:paraId="45C3FDAD">
      <w:pPr>
        <w:spacing w:line="360" w:lineRule="auto"/>
        <w:ind w:left="525" w:hanging="525" w:hangingChars="250"/>
        <w:rPr>
          <w:rFonts w:hint="eastAsia" w:ascii="宋体" w:hAnsi="宋体" w:eastAsia="宋体" w:cs="宋体"/>
          <w:sz w:val="21"/>
          <w:szCs w:val="21"/>
          <w:highlight w:val="none"/>
        </w:rPr>
      </w:pPr>
      <w:r>
        <w:rPr>
          <w:rFonts w:hint="eastAsia" w:ascii="宋体" w:hAnsi="宋体" w:eastAsia="宋体" w:cs="宋体"/>
          <w:sz w:val="21"/>
          <w:szCs w:val="21"/>
          <w:lang w:val="en-US" w:eastAsia="zh-CN"/>
        </w:rPr>
        <w:t>8.1.</w:t>
      </w:r>
      <w:r>
        <w:rPr>
          <w:rFonts w:hint="eastAsia" w:ascii="宋体" w:hAnsi="宋体" w:eastAsia="宋体" w:cs="宋体"/>
          <w:sz w:val="21"/>
          <w:szCs w:val="21"/>
        </w:rPr>
        <w:t>所有投标价格为送货到采购人指定地点的含税人民币价（含货物应交纳的一切税费和伴随服务费）并进行分项报价；质保期后的维保费单独报价（不包括在投标价中），</w:t>
      </w:r>
      <w:r>
        <w:rPr>
          <w:rFonts w:hint="eastAsia" w:ascii="宋体" w:hAnsi="宋体" w:eastAsia="宋体" w:cs="宋体"/>
          <w:sz w:val="21"/>
          <w:szCs w:val="21"/>
          <w:highlight w:val="none"/>
        </w:rPr>
        <w:t>选购件单独分项报价（不包括在投标价中）。</w:t>
      </w:r>
    </w:p>
    <w:p w14:paraId="096D0F3F">
      <w:pPr>
        <w:numPr>
          <w:ilvl w:val="0"/>
          <w:numId w:val="3"/>
        </w:numPr>
        <w:spacing w:line="360" w:lineRule="auto"/>
        <w:rPr>
          <w:rFonts w:hint="eastAsia" w:ascii="宋体" w:hAnsi="宋体" w:eastAsia="宋体" w:cs="宋体"/>
          <w:sz w:val="21"/>
          <w:szCs w:val="21"/>
        </w:rPr>
      </w:pPr>
      <w:r>
        <w:rPr>
          <w:rFonts w:hint="eastAsia" w:ascii="宋体" w:hAnsi="宋体" w:eastAsia="宋体" w:cs="宋体"/>
          <w:sz w:val="21"/>
          <w:szCs w:val="21"/>
          <w:highlight w:val="none"/>
        </w:rPr>
        <w:t>▲</w:t>
      </w:r>
      <w:r>
        <w:rPr>
          <w:rFonts w:hint="eastAsia" w:ascii="宋体" w:hAnsi="宋体" w:eastAsia="宋体" w:cs="宋体"/>
          <w:sz w:val="21"/>
          <w:szCs w:val="21"/>
          <w:lang w:val="en-US" w:eastAsia="zh-CN"/>
        </w:rPr>
        <w:t>一次性耗材：</w:t>
      </w:r>
      <w:r>
        <w:rPr>
          <w:rFonts w:hint="eastAsia" w:ascii="宋体" w:hAnsi="宋体" w:eastAsia="宋体" w:cs="宋体"/>
          <w:sz w:val="21"/>
          <w:szCs w:val="21"/>
        </w:rPr>
        <w:t>投标设备如有一次性专用耗材，投标时提供设备配套使用耗材</w:t>
      </w:r>
      <w:r>
        <w:rPr>
          <w:rFonts w:hint="eastAsia" w:ascii="宋体" w:hAnsi="宋体" w:eastAsia="宋体" w:cs="宋体"/>
          <w:sz w:val="21"/>
          <w:szCs w:val="21"/>
          <w:lang w:eastAsia="zh-CN"/>
        </w:rPr>
        <w:t>两定</w:t>
      </w:r>
      <w:r>
        <w:rPr>
          <w:rFonts w:hint="eastAsia" w:ascii="宋体" w:hAnsi="宋体" w:eastAsia="宋体" w:cs="宋体"/>
          <w:sz w:val="21"/>
          <w:szCs w:val="21"/>
        </w:rPr>
        <w:t>平台</w:t>
      </w:r>
      <w:r>
        <w:rPr>
          <w:rFonts w:hint="eastAsia" w:ascii="宋体" w:hAnsi="宋体" w:eastAsia="宋体" w:cs="宋体"/>
          <w:sz w:val="21"/>
          <w:szCs w:val="21"/>
          <w:lang w:eastAsia="zh-CN"/>
        </w:rPr>
        <w:t>挂网产品</w:t>
      </w:r>
      <w:r>
        <w:rPr>
          <w:rFonts w:hint="eastAsia" w:ascii="宋体" w:hAnsi="宋体" w:eastAsia="宋体" w:cs="宋体"/>
          <w:sz w:val="21"/>
          <w:szCs w:val="21"/>
        </w:rPr>
        <w:t>（不含自行采购类型）。列明专用耗材价格、型号、注册证号等信息，耗材价格作为重要参考依据，</w:t>
      </w:r>
      <w:r>
        <w:rPr>
          <w:rFonts w:hint="eastAsia" w:ascii="宋体" w:hAnsi="宋体" w:eastAsia="宋体" w:cs="宋体"/>
          <w:b/>
          <w:bCs/>
          <w:color w:val="0000FF"/>
          <w:sz w:val="21"/>
          <w:szCs w:val="21"/>
        </w:rPr>
        <w:t>无耗材报价的默认为该设备无需耗材</w:t>
      </w:r>
      <w:r>
        <w:rPr>
          <w:rFonts w:hint="eastAsia" w:ascii="宋体" w:hAnsi="宋体" w:eastAsia="宋体" w:cs="宋体"/>
          <w:sz w:val="21"/>
          <w:szCs w:val="21"/>
        </w:rPr>
        <w:t>。</w:t>
      </w:r>
    </w:p>
    <w:p w14:paraId="5093230E">
      <w:pPr>
        <w:jc w:val="left"/>
        <w:rPr>
          <w:rFonts w:hint="eastAsia" w:ascii="宋体" w:hAnsi="宋体" w:eastAsia="宋体" w:cs="宋体"/>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auto"/>
    <w:pitch w:val="default"/>
    <w:sig w:usb0="00000203" w:usb1="288F0000" w:usb2="0000000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A9FA07"/>
    <w:multiLevelType w:val="multilevel"/>
    <w:tmpl w:val="B9A9FA07"/>
    <w:lvl w:ilvl="0" w:tentative="0">
      <w:start w:val="5"/>
      <w:numFmt w:val="decimal"/>
      <w:lvlText w:val="%1."/>
      <w:lvlJc w:val="left"/>
      <w:pPr>
        <w:tabs>
          <w:tab w:val="left" w:pos="360"/>
        </w:tabs>
        <w:ind w:left="360" w:hanging="360"/>
      </w:pPr>
      <w:rPr>
        <w:rFonts w:hint="default"/>
      </w:rPr>
    </w:lvl>
    <w:lvl w:ilvl="1" w:tentative="0">
      <w:start w:val="1"/>
      <w:numFmt w:val="decimal"/>
      <w:lvlText w:val="5.%2."/>
      <w:lvlJc w:val="left"/>
      <w:pPr>
        <w:tabs>
          <w:tab w:val="left" w:pos="360"/>
        </w:tabs>
        <w:ind w:left="360" w:hanging="360"/>
      </w:pPr>
      <w:rPr>
        <w:rFonts w:hint="default" w:ascii="Times New Roman" w:hAnsi="Times New Roman" w:cs="Times New Roman"/>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1">
    <w:nsid w:val="0000000D"/>
    <w:multiLevelType w:val="multilevel"/>
    <w:tmpl w:val="0000000D"/>
    <w:lvl w:ilvl="0" w:tentative="0">
      <w:start w:val="1"/>
      <w:numFmt w:val="decimal"/>
      <w:lvlText w:val="%1."/>
      <w:lvlJc w:val="left"/>
      <w:pPr>
        <w:tabs>
          <w:tab w:val="left" w:pos="360"/>
        </w:tabs>
        <w:ind w:left="360" w:hanging="360"/>
      </w:pPr>
      <w:rPr>
        <w:rFonts w:hint="default"/>
      </w:rPr>
    </w:lvl>
    <w:lvl w:ilvl="1" w:tentative="0">
      <w:start w:val="2"/>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abstractNum w:abstractNumId="2">
    <w:nsid w:val="545F31E7"/>
    <w:multiLevelType w:val="multilevel"/>
    <w:tmpl w:val="545F31E7"/>
    <w:lvl w:ilvl="0" w:tentative="0">
      <w:start w:val="8"/>
      <w:numFmt w:val="decimal"/>
      <w:lvlText w:val="%1."/>
      <w:lvlJc w:val="left"/>
      <w:pPr>
        <w:tabs>
          <w:tab w:val="left" w:pos="360"/>
        </w:tabs>
        <w:ind w:left="360" w:hanging="360"/>
      </w:pPr>
      <w:rPr>
        <w:rFonts w:hint="default" w:ascii="宋体" w:hAnsi="宋体" w:eastAsia="宋体" w:cs="宋体"/>
        <w:sz w:val="21"/>
        <w:szCs w:val="21"/>
      </w:rPr>
    </w:lvl>
    <w:lvl w:ilvl="1" w:tentative="0">
      <w:start w:val="1"/>
      <w:numFmt w:val="decimal"/>
      <w:lvlText w:val="%1.%2."/>
      <w:lvlJc w:val="left"/>
      <w:pPr>
        <w:tabs>
          <w:tab w:val="left" w:pos="360"/>
        </w:tabs>
        <w:ind w:left="360" w:hanging="360"/>
      </w:pPr>
      <w:rPr>
        <w:rFonts w:hint="default"/>
      </w:rPr>
    </w:lvl>
    <w:lvl w:ilvl="2" w:tentative="0">
      <w:start w:val="1"/>
      <w:numFmt w:val="decimal"/>
      <w:lvlText w:val="%1.%2.%3."/>
      <w:lvlJc w:val="left"/>
      <w:pPr>
        <w:tabs>
          <w:tab w:val="left" w:pos="720"/>
        </w:tabs>
        <w:ind w:left="720" w:hanging="720"/>
      </w:pPr>
      <w:rPr>
        <w:rFonts w:hint="default"/>
      </w:rPr>
    </w:lvl>
    <w:lvl w:ilvl="3" w:tentative="0">
      <w:start w:val="1"/>
      <w:numFmt w:val="decimal"/>
      <w:lvlText w:val="%1.%2.%3.%4."/>
      <w:lvlJc w:val="left"/>
      <w:pPr>
        <w:tabs>
          <w:tab w:val="left" w:pos="720"/>
        </w:tabs>
        <w:ind w:left="720" w:hanging="720"/>
      </w:pPr>
      <w:rPr>
        <w:rFonts w:hint="default"/>
      </w:rPr>
    </w:lvl>
    <w:lvl w:ilvl="4" w:tentative="0">
      <w:start w:val="1"/>
      <w:numFmt w:val="decimal"/>
      <w:lvlText w:val="%1.%2.%3.%4.%5."/>
      <w:lvlJc w:val="left"/>
      <w:pPr>
        <w:tabs>
          <w:tab w:val="left" w:pos="1080"/>
        </w:tabs>
        <w:ind w:left="1080" w:hanging="1080"/>
      </w:pPr>
      <w:rPr>
        <w:rFonts w:hint="default"/>
      </w:rPr>
    </w:lvl>
    <w:lvl w:ilvl="5" w:tentative="0">
      <w:start w:val="1"/>
      <w:numFmt w:val="decimal"/>
      <w:lvlText w:val="%1.%2.%3.%4.%5.%6."/>
      <w:lvlJc w:val="left"/>
      <w:pPr>
        <w:tabs>
          <w:tab w:val="left" w:pos="1080"/>
        </w:tabs>
        <w:ind w:left="1080" w:hanging="1080"/>
      </w:pPr>
      <w:rPr>
        <w:rFonts w:hint="default"/>
      </w:rPr>
    </w:lvl>
    <w:lvl w:ilvl="6" w:tentative="0">
      <w:start w:val="1"/>
      <w:numFmt w:val="decimal"/>
      <w:lvlText w:val="%1.%2.%3.%4.%5.%6.%7."/>
      <w:lvlJc w:val="left"/>
      <w:pPr>
        <w:tabs>
          <w:tab w:val="left" w:pos="1440"/>
        </w:tabs>
        <w:ind w:left="1440" w:hanging="1440"/>
      </w:pPr>
      <w:rPr>
        <w:rFonts w:hint="default"/>
      </w:rPr>
    </w:lvl>
    <w:lvl w:ilvl="7" w:tentative="0">
      <w:start w:val="1"/>
      <w:numFmt w:val="decimal"/>
      <w:lvlText w:val="%1.%2.%3.%4.%5.%6.%7.%8."/>
      <w:lvlJc w:val="left"/>
      <w:pPr>
        <w:tabs>
          <w:tab w:val="left" w:pos="1440"/>
        </w:tabs>
        <w:ind w:left="1440" w:hanging="1440"/>
      </w:pPr>
      <w:rPr>
        <w:rFonts w:hint="default"/>
      </w:rPr>
    </w:lvl>
    <w:lvl w:ilvl="8" w:tentative="0">
      <w:start w:val="1"/>
      <w:numFmt w:val="decimal"/>
      <w:lvlText w:val="%1.%2.%3.%4.%5.%6.%7.%8.%9."/>
      <w:lvlJc w:val="left"/>
      <w:pPr>
        <w:tabs>
          <w:tab w:val="left" w:pos="1440"/>
        </w:tabs>
        <w:ind w:left="1440" w:hanging="1440"/>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052FA2"/>
    <w:rsid w:val="0E0E540B"/>
    <w:rsid w:val="223507F2"/>
    <w:rsid w:val="24B1767A"/>
    <w:rsid w:val="2F052FA2"/>
    <w:rsid w:val="33F4339D"/>
    <w:rsid w:val="4EF80087"/>
    <w:rsid w:val="4F7440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99"/>
    <w:pPr>
      <w:widowControl w:val="0"/>
      <w:jc w:val="both"/>
    </w:pPr>
    <w:rPr>
      <w:rFonts w:ascii="Times New Roman" w:hAnsi="Times New Roman" w:eastAsia="Times New Roman"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
    <w:name w:val="font31"/>
    <w:basedOn w:val="4"/>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968</Words>
  <Characters>1004</Characters>
  <Lines>0</Lines>
  <Paragraphs>0</Paragraphs>
  <TotalTime>5</TotalTime>
  <ScaleCrop>false</ScaleCrop>
  <LinksUpToDate>false</LinksUpToDate>
  <CharactersWithSpaces>1004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2026-10-07T01:35:00Z</dcterms:created>
  <dc:creator>*    Free</dc:creator>
  <cp:lastModifiedBy>大</cp:lastModifiedBy>
  <dcterms:modified xsi:type="dcterms:W3CDTF">2026-10-22T10:46:04Z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7B95141022494C7CB8B2CE45CDA3AAF4_11</vt:lpwstr>
  </property>
  <property fmtid="{D5CDD505-2E9C-101B-9397-08002B2CF9AE}" pid="4" name="KSOTemplateDocerSaveRecord">
    <vt:lpwstr>eyJoZGlkIjoiNGFhZDQ1MjVkYmQ3ODQ5Y2QxYzQ4MDg5ZjdjMTMwOWMiLCJ1c2VySWQiOiI4MjQ1Mzk3MzMifQ==</vt:lpwstr>
  </property>
</Properties>
</file>